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BC502C" w14:textId="6D7BE4B0" w:rsidR="008A4A6F" w:rsidRPr="00435DC8" w:rsidRDefault="008A4A6F" w:rsidP="008A4A6F">
      <w:pPr>
        <w:pStyle w:val="Header"/>
        <w:tabs>
          <w:tab w:val="left" w:pos="2160"/>
        </w:tabs>
        <w:ind w:left="2127" w:hanging="2127"/>
        <w:jc w:val="both"/>
        <w:rPr>
          <w:rFonts w:ascii="Arial" w:hAnsi="Arial" w:cs="Arial"/>
          <w:noProof w:val="0"/>
          <w:sz w:val="22"/>
        </w:rPr>
      </w:pPr>
      <w:bookmarkStart w:id="0" w:name="OLE_LINK5"/>
      <w:r w:rsidRPr="0083294C">
        <w:rPr>
          <w:rFonts w:ascii="Arial" w:hAnsi="Arial" w:cs="Arial"/>
          <w:noProof w:val="0"/>
          <w:sz w:val="22"/>
        </w:rPr>
        <w:t>3GPP TSG-RAN WG4 Meeting</w:t>
      </w:r>
      <w:r w:rsidR="00F952AE">
        <w:rPr>
          <w:rFonts w:ascii="Arial" w:hAnsi="Arial" w:cs="Arial"/>
          <w:noProof w:val="0"/>
          <w:sz w:val="22"/>
        </w:rPr>
        <w:t xml:space="preserve"> </w:t>
      </w:r>
      <w:r w:rsidR="004F3ABB">
        <w:rPr>
          <w:rFonts w:ascii="Arial" w:hAnsi="Arial" w:cs="Arial"/>
          <w:noProof w:val="0"/>
          <w:sz w:val="22"/>
        </w:rPr>
        <w:t>NR</w:t>
      </w:r>
      <w:r w:rsidR="001E48BD">
        <w:rPr>
          <w:rFonts w:ascii="Arial" w:hAnsi="Arial" w:cs="Arial"/>
          <w:noProof w:val="0"/>
          <w:sz w:val="22"/>
        </w:rPr>
        <w:t xml:space="preserve"> </w:t>
      </w:r>
      <w:r w:rsidR="004F3ABB">
        <w:rPr>
          <w:rFonts w:ascii="Arial" w:hAnsi="Arial" w:cs="Arial"/>
          <w:noProof w:val="0"/>
          <w:sz w:val="22"/>
        </w:rPr>
        <w:t>#2</w:t>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sidR="004F3ABB">
        <w:rPr>
          <w:rFonts w:ascii="Arial" w:hAnsi="Arial" w:cs="Arial"/>
          <w:noProof w:val="0"/>
          <w:sz w:val="22"/>
        </w:rPr>
        <w:tab/>
      </w:r>
      <w:r w:rsidR="00435DC8">
        <w:rPr>
          <w:rFonts w:ascii="Arial" w:hAnsi="Arial" w:cs="Arial"/>
          <w:noProof w:val="0"/>
          <w:sz w:val="22"/>
        </w:rPr>
        <w:tab/>
        <w:t xml:space="preserve">   </w:t>
      </w:r>
      <w:bookmarkStart w:id="1" w:name="_GoBack"/>
      <w:bookmarkEnd w:id="1"/>
      <w:r w:rsidR="00435DC8" w:rsidRPr="00435DC8">
        <w:rPr>
          <w:rFonts w:ascii="Arial" w:hAnsi="Arial" w:cs="Arial"/>
          <w:noProof w:val="0"/>
          <w:sz w:val="22"/>
        </w:rPr>
        <w:t>R4-1706717</w:t>
      </w:r>
    </w:p>
    <w:p w14:paraId="135C89D8" w14:textId="6A056CD3" w:rsidR="008A4A6F" w:rsidRPr="0083294C" w:rsidRDefault="004F3ABB" w:rsidP="008A4A6F">
      <w:pPr>
        <w:pStyle w:val="CRCoverPage"/>
        <w:tabs>
          <w:tab w:val="right" w:pos="9639"/>
        </w:tabs>
        <w:spacing w:after="0"/>
        <w:rPr>
          <w:rFonts w:ascii="Arial" w:hAnsi="Arial" w:cs="Arial"/>
          <w:b/>
          <w:sz w:val="22"/>
          <w:lang w:eastAsia="zh-CN"/>
        </w:rPr>
      </w:pPr>
      <w:r>
        <w:rPr>
          <w:rFonts w:ascii="Arial" w:hAnsi="Arial" w:cs="Arial"/>
          <w:b/>
          <w:sz w:val="22"/>
        </w:rPr>
        <w:t>Qingdao</w:t>
      </w:r>
      <w:r w:rsidR="008A4A6F" w:rsidRPr="0083294C">
        <w:rPr>
          <w:rFonts w:ascii="Arial" w:hAnsi="Arial" w:cs="Arial"/>
          <w:b/>
          <w:sz w:val="22"/>
        </w:rPr>
        <w:t xml:space="preserve">, </w:t>
      </w:r>
      <w:r w:rsidR="00C446D3">
        <w:rPr>
          <w:rFonts w:ascii="Arial" w:hAnsi="Arial" w:cs="Arial"/>
          <w:b/>
          <w:sz w:val="22"/>
        </w:rPr>
        <w:t>China</w:t>
      </w:r>
      <w:r w:rsidR="008A4A6F">
        <w:rPr>
          <w:rFonts w:ascii="Arial" w:hAnsi="Arial" w:cs="Arial"/>
          <w:b/>
          <w:sz w:val="22"/>
        </w:rPr>
        <w:t xml:space="preserve">, </w:t>
      </w:r>
      <w:r>
        <w:rPr>
          <w:rFonts w:ascii="Arial" w:hAnsi="Arial" w:cs="Arial"/>
          <w:b/>
          <w:sz w:val="22"/>
        </w:rPr>
        <w:t>27</w:t>
      </w:r>
      <w:r w:rsidR="00C446D3">
        <w:rPr>
          <w:rFonts w:ascii="Arial" w:hAnsi="Arial" w:cs="Arial"/>
          <w:b/>
          <w:sz w:val="22"/>
          <w:vertAlign w:val="superscript"/>
        </w:rPr>
        <w:t>th</w:t>
      </w:r>
      <w:r w:rsidR="008A4A6F">
        <w:rPr>
          <w:rFonts w:ascii="Arial" w:hAnsi="Arial" w:cs="Arial"/>
          <w:b/>
          <w:sz w:val="22"/>
        </w:rPr>
        <w:t xml:space="preserve"> </w:t>
      </w:r>
      <w:r w:rsidR="00C446D3">
        <w:rPr>
          <w:rFonts w:ascii="Arial" w:hAnsi="Arial" w:cs="Arial"/>
          <w:b/>
          <w:sz w:val="22"/>
        </w:rPr>
        <w:t xml:space="preserve">– </w:t>
      </w:r>
      <w:r>
        <w:rPr>
          <w:rFonts w:ascii="Arial" w:hAnsi="Arial" w:cs="Arial"/>
          <w:b/>
          <w:sz w:val="22"/>
        </w:rPr>
        <w:t>2</w:t>
      </w:r>
      <w:r w:rsidR="00C446D3">
        <w:rPr>
          <w:rFonts w:ascii="Arial" w:hAnsi="Arial" w:cs="Arial"/>
          <w:b/>
          <w:sz w:val="22"/>
        </w:rPr>
        <w:t>9</w:t>
      </w:r>
      <w:r w:rsidR="008A4A6F" w:rsidRPr="0083294C">
        <w:rPr>
          <w:rFonts w:ascii="Arial" w:hAnsi="Arial" w:cs="Arial"/>
          <w:b/>
          <w:sz w:val="22"/>
          <w:vertAlign w:val="superscript"/>
        </w:rPr>
        <w:t>th</w:t>
      </w:r>
      <w:r w:rsidR="008A4A6F" w:rsidRPr="0083294C">
        <w:rPr>
          <w:rFonts w:ascii="Arial" w:hAnsi="Arial" w:cs="Arial"/>
          <w:b/>
          <w:sz w:val="22"/>
        </w:rPr>
        <w:t xml:space="preserve"> </w:t>
      </w:r>
      <w:r>
        <w:rPr>
          <w:rFonts w:ascii="Arial" w:hAnsi="Arial" w:cs="Arial"/>
          <w:b/>
          <w:sz w:val="22"/>
        </w:rPr>
        <w:t>June</w:t>
      </w:r>
      <w:r w:rsidR="008A4A6F" w:rsidRPr="0083294C">
        <w:rPr>
          <w:rFonts w:ascii="Arial" w:hAnsi="Arial" w:cs="Arial"/>
          <w:b/>
          <w:sz w:val="22"/>
        </w:rPr>
        <w:t>, 2017</w:t>
      </w:r>
    </w:p>
    <w:bookmarkEnd w:id="0"/>
    <w:p w14:paraId="6020DF7C" w14:textId="77777777" w:rsidR="008A4A6F" w:rsidRPr="0083294C" w:rsidRDefault="008A4A6F" w:rsidP="008A4A6F">
      <w:pPr>
        <w:pStyle w:val="Footer"/>
        <w:jc w:val="both"/>
        <w:rPr>
          <w:rFonts w:ascii="Arial" w:hAnsi="Arial" w:cs="Arial"/>
          <w:noProof w:val="0"/>
          <w:lang w:val="en-GB"/>
        </w:rPr>
      </w:pPr>
    </w:p>
    <w:p w14:paraId="682A84D7" w14:textId="56DCFEB9" w:rsidR="008A4A6F" w:rsidRPr="008C1233" w:rsidRDefault="008A4A6F" w:rsidP="009630B9">
      <w:pPr>
        <w:ind w:left="2100" w:hanging="2100"/>
        <w:jc w:val="both"/>
        <w:rPr>
          <w:rFonts w:ascii="Arial" w:hAnsi="Arial" w:cs="Arial"/>
          <w:sz w:val="24"/>
        </w:rPr>
      </w:pPr>
      <w:r w:rsidRPr="0083294C">
        <w:rPr>
          <w:rFonts w:ascii="Arial" w:hAnsi="Arial" w:cs="Arial"/>
          <w:b/>
          <w:sz w:val="24"/>
        </w:rPr>
        <w:t>Title:</w:t>
      </w:r>
      <w:r w:rsidR="009630B9">
        <w:rPr>
          <w:rFonts w:ascii="Arial" w:hAnsi="Arial" w:cs="Arial"/>
          <w:sz w:val="24"/>
        </w:rPr>
        <w:t xml:space="preserve"> </w:t>
      </w:r>
      <w:r w:rsidR="009630B9">
        <w:rPr>
          <w:rFonts w:ascii="Arial" w:hAnsi="Arial" w:cs="Arial"/>
          <w:sz w:val="24"/>
        </w:rPr>
        <w:tab/>
      </w:r>
      <w:r w:rsidR="008C1233" w:rsidRPr="008C1233">
        <w:rPr>
          <w:rFonts w:ascii="Arial" w:hAnsi="Arial" w:cs="Arial"/>
          <w:sz w:val="24"/>
        </w:rPr>
        <w:t>Discussion on definitions of intra and inter-frequency measurements</w:t>
      </w:r>
    </w:p>
    <w:p w14:paraId="4237226B" w14:textId="77777777" w:rsidR="008A4A6F" w:rsidRPr="0083294C" w:rsidRDefault="008A4A6F" w:rsidP="008A4A6F">
      <w:pPr>
        <w:tabs>
          <w:tab w:val="left" w:pos="1985"/>
        </w:tabs>
        <w:jc w:val="both"/>
        <w:rPr>
          <w:rFonts w:ascii="Arial" w:hAnsi="Arial" w:cs="Arial"/>
          <w:sz w:val="24"/>
        </w:rPr>
      </w:pPr>
      <w:r w:rsidRPr="0083294C">
        <w:rPr>
          <w:rFonts w:ascii="Arial" w:hAnsi="Arial" w:cs="Arial"/>
          <w:b/>
          <w:sz w:val="24"/>
        </w:rPr>
        <w:t xml:space="preserve">Source: </w:t>
      </w:r>
      <w:r w:rsidRPr="0083294C">
        <w:rPr>
          <w:rFonts w:ascii="Arial" w:hAnsi="Arial" w:cs="Arial"/>
          <w:b/>
          <w:sz w:val="24"/>
        </w:rPr>
        <w:tab/>
      </w:r>
      <w:r w:rsidR="005063D2">
        <w:rPr>
          <w:rFonts w:ascii="Arial" w:hAnsi="Arial" w:cs="Arial"/>
          <w:b/>
          <w:sz w:val="24"/>
        </w:rPr>
        <w:tab/>
      </w:r>
      <w:r w:rsidRPr="0083294C">
        <w:rPr>
          <w:rFonts w:ascii="Arial" w:hAnsi="Arial" w:cs="Arial"/>
          <w:sz w:val="24"/>
        </w:rPr>
        <w:t xml:space="preserve">Huawei, </w:t>
      </w:r>
      <w:proofErr w:type="spellStart"/>
      <w:r w:rsidRPr="0083294C">
        <w:rPr>
          <w:rFonts w:ascii="Arial" w:hAnsi="Arial" w:cs="Arial"/>
          <w:sz w:val="24"/>
        </w:rPr>
        <w:t>HiSilicon</w:t>
      </w:r>
      <w:proofErr w:type="spellEnd"/>
    </w:p>
    <w:p w14:paraId="58303571" w14:textId="11AC2DEF" w:rsidR="008A4A6F" w:rsidRPr="0083294C" w:rsidRDefault="008A4A6F" w:rsidP="008A4A6F">
      <w:pPr>
        <w:tabs>
          <w:tab w:val="left" w:pos="1985"/>
        </w:tabs>
        <w:jc w:val="both"/>
        <w:rPr>
          <w:rFonts w:ascii="Arial" w:hAnsi="Arial" w:cs="Arial"/>
          <w:sz w:val="24"/>
        </w:rPr>
      </w:pPr>
      <w:r w:rsidRPr="0083294C">
        <w:rPr>
          <w:rFonts w:ascii="Arial" w:hAnsi="Arial" w:cs="Arial"/>
          <w:b/>
          <w:sz w:val="24"/>
        </w:rPr>
        <w:t>Agenda item:</w:t>
      </w:r>
      <w:r w:rsidRPr="0083294C">
        <w:rPr>
          <w:rFonts w:ascii="Arial" w:hAnsi="Arial" w:cs="Arial"/>
          <w:sz w:val="24"/>
        </w:rPr>
        <w:tab/>
      </w:r>
      <w:r w:rsidR="005063D2">
        <w:rPr>
          <w:rFonts w:ascii="Arial" w:hAnsi="Arial" w:cs="Arial"/>
          <w:sz w:val="24"/>
        </w:rPr>
        <w:tab/>
      </w:r>
      <w:r w:rsidR="000409C7">
        <w:rPr>
          <w:rFonts w:ascii="Arial" w:hAnsi="Arial" w:cs="Arial"/>
          <w:sz w:val="24"/>
        </w:rPr>
        <w:t>3.5.2</w:t>
      </w:r>
    </w:p>
    <w:p w14:paraId="4C7F1055" w14:textId="77777777" w:rsidR="008A4A6F" w:rsidRPr="0083294C" w:rsidRDefault="008A4A6F" w:rsidP="008A4A6F">
      <w:pPr>
        <w:tabs>
          <w:tab w:val="left" w:pos="1985"/>
        </w:tabs>
        <w:ind w:left="1980" w:hanging="1980"/>
        <w:jc w:val="both"/>
        <w:rPr>
          <w:rFonts w:ascii="Arial" w:hAnsi="Arial" w:cs="Arial"/>
          <w:sz w:val="24"/>
        </w:rPr>
      </w:pPr>
      <w:r w:rsidRPr="0083294C">
        <w:rPr>
          <w:rFonts w:ascii="Arial" w:hAnsi="Arial" w:cs="Arial"/>
          <w:b/>
          <w:sz w:val="24"/>
        </w:rPr>
        <w:t>Document for:</w:t>
      </w:r>
      <w:r w:rsidRPr="0083294C">
        <w:rPr>
          <w:rFonts w:ascii="Arial" w:hAnsi="Arial" w:cs="Arial"/>
          <w:sz w:val="24"/>
        </w:rPr>
        <w:tab/>
      </w:r>
      <w:r w:rsidR="005063D2">
        <w:rPr>
          <w:rFonts w:ascii="Arial" w:hAnsi="Arial" w:cs="Arial"/>
          <w:sz w:val="24"/>
        </w:rPr>
        <w:tab/>
      </w:r>
      <w:r w:rsidR="005063D2">
        <w:rPr>
          <w:rFonts w:ascii="Arial" w:hAnsi="Arial" w:cs="Arial"/>
          <w:sz w:val="24"/>
        </w:rPr>
        <w:tab/>
      </w:r>
      <w:r w:rsidRPr="0083294C">
        <w:rPr>
          <w:rFonts w:ascii="Arial" w:hAnsi="Arial" w:cs="Arial"/>
          <w:sz w:val="24"/>
        </w:rPr>
        <w:t>Discussion</w:t>
      </w:r>
    </w:p>
    <w:p w14:paraId="41A27661" w14:textId="77777777" w:rsidR="00C81E8E" w:rsidRPr="00C560A6" w:rsidRDefault="00C81E8E" w:rsidP="00C81E8E">
      <w:pPr>
        <w:pStyle w:val="Heading1"/>
        <w:jc w:val="both"/>
        <w:rPr>
          <w:rFonts w:ascii="Arial" w:hAnsi="Arial" w:cs="Arial"/>
          <w:lang w:val="en-US"/>
        </w:rPr>
      </w:pPr>
      <w:r w:rsidRPr="00C560A6">
        <w:rPr>
          <w:rFonts w:ascii="Arial" w:hAnsi="Arial" w:cs="Arial"/>
          <w:lang w:val="en-US"/>
        </w:rPr>
        <w:t>Introduction</w:t>
      </w:r>
    </w:p>
    <w:p w14:paraId="06F17E7F" w14:textId="1849C243" w:rsidR="00C81E8E" w:rsidRDefault="002163AB" w:rsidP="00C81E8E">
      <w:pPr>
        <w:jc w:val="both"/>
      </w:pPr>
      <w:r>
        <w:rPr>
          <w:rFonts w:hint="eastAsia"/>
        </w:rPr>
        <w:t xml:space="preserve">UE measurement capabilities in NR was discussed widely in last RAN4 #83 NR ad-hoc meeting </w:t>
      </w:r>
      <w:r>
        <w:fldChar w:fldCharType="begin"/>
      </w:r>
      <w:r>
        <w:instrText xml:space="preserve"> </w:instrText>
      </w:r>
      <w:r>
        <w:rPr>
          <w:rFonts w:hint="eastAsia"/>
        </w:rPr>
        <w:instrText>REF _Ref480902077 \h</w:instrText>
      </w:r>
      <w:r>
        <w:instrText xml:space="preserve"> </w:instrText>
      </w:r>
      <w:r>
        <w:fldChar w:fldCharType="separate"/>
      </w:r>
      <w:r w:rsidRPr="0073243D">
        <w:rPr>
          <w:rFonts w:cs="Times New Roman"/>
        </w:rPr>
        <w:t>[</w:t>
      </w:r>
      <w:r>
        <w:rPr>
          <w:rFonts w:cs="Times New Roman"/>
          <w:noProof/>
        </w:rPr>
        <w:t>1</w:t>
      </w:r>
      <w:r>
        <w:fldChar w:fldCharType="end"/>
      </w:r>
      <w:r>
        <w:t>]</w:t>
      </w:r>
      <w:r>
        <w:rPr>
          <w:rFonts w:hint="eastAsia"/>
        </w:rPr>
        <w:t>.</w:t>
      </w:r>
      <w:r>
        <w:t xml:space="preserve"> However, little progress was made in this topic since the definitions of intra/inter frequency</w:t>
      </w:r>
      <w:r w:rsidR="00085D33">
        <w:t xml:space="preserve"> measurement</w:t>
      </w:r>
      <w:r>
        <w:t xml:space="preserve"> are not clear. How to proceed the measurement capability was finally captured in the approved WF </w:t>
      </w:r>
      <w:r>
        <w:fldChar w:fldCharType="begin"/>
      </w:r>
      <w:r>
        <w:instrText xml:space="preserve"> REF _Ref484608811 \h </w:instrText>
      </w:r>
      <w:r>
        <w:fldChar w:fldCharType="separate"/>
      </w:r>
      <w:r>
        <w:rPr>
          <w:rFonts w:eastAsia="Gill Sans MT Pro Light" w:cs="Times New Roman"/>
          <w:lang w:val="en-GB"/>
        </w:rPr>
        <w:t>[</w:t>
      </w:r>
      <w:r>
        <w:rPr>
          <w:rFonts w:eastAsia="Gill Sans MT Pro Light" w:cs="Times New Roman"/>
          <w:noProof/>
          <w:lang w:val="en-GB"/>
        </w:rPr>
        <w:t>2</w:t>
      </w:r>
      <w:r>
        <w:fldChar w:fldCharType="end"/>
      </w:r>
      <w:r>
        <w:t>]:</w:t>
      </w:r>
    </w:p>
    <w:tbl>
      <w:tblPr>
        <w:tblStyle w:val="TableGrid"/>
        <w:tblW w:w="0" w:type="auto"/>
        <w:tblLook w:val="04A0" w:firstRow="1" w:lastRow="0" w:firstColumn="1" w:lastColumn="0" w:noHBand="0" w:noVBand="1"/>
      </w:tblPr>
      <w:tblGrid>
        <w:gridCol w:w="8296"/>
      </w:tblGrid>
      <w:tr w:rsidR="002163AB" w14:paraId="5DE15451" w14:textId="77777777" w:rsidTr="002163AB">
        <w:tc>
          <w:tcPr>
            <w:tcW w:w="8296" w:type="dxa"/>
          </w:tcPr>
          <w:p w14:paraId="5CC1AA97" w14:textId="77777777" w:rsidR="002163AB" w:rsidRPr="002163AB" w:rsidRDefault="002163AB" w:rsidP="002163AB">
            <w:pPr>
              <w:jc w:val="both"/>
              <w:rPr>
                <w:b/>
              </w:rPr>
            </w:pPr>
            <w:r w:rsidRPr="002163AB">
              <w:rPr>
                <w:b/>
              </w:rPr>
              <w:t>1.2</w:t>
            </w:r>
            <w:r w:rsidRPr="002163AB">
              <w:rPr>
                <w:b/>
              </w:rPr>
              <w:tab/>
              <w:t>Measurement capabilities</w:t>
            </w:r>
          </w:p>
          <w:p w14:paraId="0CBA4EAE" w14:textId="77777777" w:rsidR="002163AB" w:rsidRDefault="002163AB" w:rsidP="002163AB">
            <w:pPr>
              <w:jc w:val="both"/>
            </w:pPr>
            <w:r>
              <w:rPr>
                <w:rFonts w:hint="eastAsia"/>
              </w:rPr>
              <w:t>•</w:t>
            </w:r>
            <w:r>
              <w:tab/>
              <w:t xml:space="preserve">Companies are encouraged to discuss whether RAN4 should </w:t>
            </w:r>
            <w:proofErr w:type="spellStart"/>
            <w:r>
              <w:t>involved</w:t>
            </w:r>
            <w:proofErr w:type="spellEnd"/>
            <w:r>
              <w:t xml:space="preserve"> in discussion of definitions of intra-frequency and inter-frequency.</w:t>
            </w:r>
          </w:p>
          <w:p w14:paraId="62692B4C" w14:textId="77777777" w:rsidR="002163AB" w:rsidRDefault="002163AB" w:rsidP="002163AB">
            <w:pPr>
              <w:jc w:val="both"/>
            </w:pPr>
            <w:r>
              <w:rPr>
                <w:rFonts w:hint="eastAsia"/>
              </w:rPr>
              <w:t>•</w:t>
            </w:r>
            <w:r>
              <w:tab/>
              <w:t xml:space="preserve">Further evaluate the capabilities for number of </w:t>
            </w:r>
            <w:proofErr w:type="spellStart"/>
            <w:r>
              <w:t>interfrequency</w:t>
            </w:r>
            <w:proofErr w:type="spellEnd"/>
            <w:r>
              <w:t xml:space="preserve"> ad inter-RAT frequency layers to measure</w:t>
            </w:r>
          </w:p>
          <w:p w14:paraId="77AEE463" w14:textId="77777777" w:rsidR="002163AB" w:rsidRDefault="002163AB" w:rsidP="002163AB">
            <w:pPr>
              <w:jc w:val="both"/>
            </w:pPr>
            <w:r>
              <w:rPr>
                <w:rFonts w:hint="eastAsia"/>
              </w:rPr>
              <w:t>•</w:t>
            </w:r>
            <w:r>
              <w:tab/>
              <w:t>Further evaluate the need for FDD/TDD differentiation in the number of carriers to measure</w:t>
            </w:r>
          </w:p>
          <w:p w14:paraId="15F11C8F" w14:textId="0B7CABBF" w:rsidR="002163AB" w:rsidRPr="002163AB" w:rsidRDefault="002163AB" w:rsidP="002163AB">
            <w:pPr>
              <w:jc w:val="both"/>
            </w:pPr>
            <w:r>
              <w:rPr>
                <w:rFonts w:hint="eastAsia"/>
              </w:rPr>
              <w:t>•</w:t>
            </w:r>
            <w:r>
              <w:tab/>
              <w:t xml:space="preserve">Further discussion on the methodology for determining capability for number of cells, number of beams </w:t>
            </w:r>
            <w:proofErr w:type="spellStart"/>
            <w:r>
              <w:t>etc</w:t>
            </w:r>
            <w:proofErr w:type="spellEnd"/>
            <w:r>
              <w:t xml:space="preserve"> to measure</w:t>
            </w:r>
          </w:p>
        </w:tc>
      </w:tr>
    </w:tbl>
    <w:p w14:paraId="5830967A" w14:textId="6ADE2D63" w:rsidR="002163AB" w:rsidRDefault="002163AB" w:rsidP="00C81E8E">
      <w:pPr>
        <w:jc w:val="both"/>
      </w:pPr>
      <w:r>
        <w:t>I</w:t>
      </w:r>
      <w:r>
        <w:rPr>
          <w:rFonts w:hint="eastAsia"/>
        </w:rPr>
        <w:t xml:space="preserve">n </w:t>
      </w:r>
      <w:r>
        <w:t>this contribution, we first provide our view on definition of intra/inter frequency</w:t>
      </w:r>
      <w:r w:rsidR="00085D33">
        <w:t xml:space="preserve"> measurement</w:t>
      </w:r>
      <w:r>
        <w:t xml:space="preserve">. </w:t>
      </w:r>
    </w:p>
    <w:p w14:paraId="798E7792" w14:textId="015D47F2" w:rsidR="00C81E8E" w:rsidRPr="00C560A6" w:rsidRDefault="00085D33" w:rsidP="00C81E8E">
      <w:pPr>
        <w:pStyle w:val="Heading1"/>
        <w:jc w:val="both"/>
        <w:rPr>
          <w:rFonts w:ascii="Arial" w:hAnsi="Arial" w:cs="Arial"/>
          <w:lang w:val="en-US"/>
        </w:rPr>
      </w:pPr>
      <w:r>
        <w:rPr>
          <w:rFonts w:ascii="Arial" w:hAnsi="Arial" w:cs="Arial"/>
          <w:lang w:val="en-US"/>
        </w:rPr>
        <w:t>Definitions of intra/inter frequency measurement</w:t>
      </w:r>
    </w:p>
    <w:p w14:paraId="0F7F15A9" w14:textId="0121E38C" w:rsidR="0097202C" w:rsidRDefault="00085D33" w:rsidP="00C81E8E">
      <w:pPr>
        <w:rPr>
          <w:rFonts w:cs="Arial"/>
          <w:lang w:eastAsia="en-US"/>
        </w:rPr>
      </w:pPr>
      <w:r>
        <w:rPr>
          <w:rFonts w:cs="Arial"/>
          <w:lang w:eastAsia="en-US"/>
        </w:rPr>
        <w:t>In the LTE the corresponding definitions of intra/inter frequency measurement are specified in TS36.300</w:t>
      </w:r>
      <w:r w:rsidR="003C5B1E">
        <w:rPr>
          <w:rFonts w:cs="Arial"/>
          <w:lang w:eastAsia="en-US"/>
        </w:rPr>
        <w:t>, which are duplicated here:</w:t>
      </w:r>
    </w:p>
    <w:tbl>
      <w:tblPr>
        <w:tblStyle w:val="TableGrid"/>
        <w:tblW w:w="0" w:type="auto"/>
        <w:tblLook w:val="04A0" w:firstRow="1" w:lastRow="0" w:firstColumn="1" w:lastColumn="0" w:noHBand="0" w:noVBand="1"/>
      </w:tblPr>
      <w:tblGrid>
        <w:gridCol w:w="8296"/>
      </w:tblGrid>
      <w:tr w:rsidR="003C5B1E" w14:paraId="78DC6580" w14:textId="77777777" w:rsidTr="003C5B1E">
        <w:tc>
          <w:tcPr>
            <w:tcW w:w="8296" w:type="dxa"/>
          </w:tcPr>
          <w:p w14:paraId="4E32735A" w14:textId="77777777" w:rsidR="003C5B1E" w:rsidRPr="003C5B1E" w:rsidRDefault="003C5B1E" w:rsidP="003C5B1E">
            <w:pPr>
              <w:rPr>
                <w:lang w:val="en-GB"/>
              </w:rPr>
            </w:pPr>
            <w:r w:rsidRPr="003C5B1E">
              <w:rPr>
                <w:lang w:val="en-GB"/>
              </w:rPr>
              <w:t>Intra-frequency neighbour (cell) measurements and inter-frequency neighbour (cell) measurements are defined as follows:</w:t>
            </w:r>
          </w:p>
          <w:p w14:paraId="008018BE" w14:textId="77777777" w:rsidR="003C5B1E" w:rsidRPr="003C5B1E" w:rsidRDefault="003C5B1E" w:rsidP="003C5B1E">
            <w:pPr>
              <w:rPr>
                <w:lang w:val="en-GB"/>
              </w:rPr>
            </w:pPr>
            <w:r w:rsidRPr="003C5B1E">
              <w:rPr>
                <w:lang w:val="en-GB"/>
              </w:rPr>
              <w:t>-</w:t>
            </w:r>
            <w:r w:rsidRPr="003C5B1E">
              <w:rPr>
                <w:lang w:val="en-GB"/>
              </w:rPr>
              <w:tab/>
              <w:t>Intra-frequency neighbour (cell) measurements: Neighbour cell measurements performed by the UE are intra-frequency measurements when the current and target cell operates on the same carrier frequency.</w:t>
            </w:r>
          </w:p>
          <w:p w14:paraId="543B0FDD" w14:textId="4D41EAB8" w:rsidR="003C5B1E" w:rsidRPr="003C5B1E" w:rsidRDefault="003C5B1E" w:rsidP="003C5B1E">
            <w:pPr>
              <w:rPr>
                <w:lang w:val="en-GB"/>
              </w:rPr>
            </w:pPr>
            <w:r w:rsidRPr="003C5B1E">
              <w:rPr>
                <w:lang w:val="en-GB"/>
              </w:rPr>
              <w:lastRenderedPageBreak/>
              <w:t>-</w:t>
            </w:r>
            <w:r w:rsidRPr="003C5B1E">
              <w:rPr>
                <w:lang w:val="en-GB"/>
              </w:rPr>
              <w:tab/>
              <w:t>Inter-frequency neighbour (cell) measurements: Neighbour cell measurements performed by the UE are inter-frequency measurements when the neighbour cell operates on a different carrier frequency, compared to the current cell.</w:t>
            </w:r>
          </w:p>
        </w:tc>
      </w:tr>
    </w:tbl>
    <w:p w14:paraId="0C232184" w14:textId="27FE1FBE" w:rsidR="003C5B1E" w:rsidRPr="00887324" w:rsidRDefault="003C5B1E" w:rsidP="00C81E8E">
      <w:r w:rsidRPr="003C5B1E">
        <w:lastRenderedPageBreak/>
        <w:t xml:space="preserve">Whether a measurement is non gap assisted or gap assisted depends on the UE's capability and the current operating frequency. In </w:t>
      </w:r>
      <w:proofErr w:type="spellStart"/>
      <w:r w:rsidRPr="003C5B1E">
        <w:t>non gap</w:t>
      </w:r>
      <w:proofErr w:type="spellEnd"/>
      <w:r w:rsidRPr="003C5B1E">
        <w:t xml:space="preserve"> assisted scenarios, the UE shall be able to carry out such measurements without measurement gaps. In gap assisted scenarios, the UE should not be assumed to be able to carry out such measurements without measurement gaps.</w:t>
      </w:r>
      <w:r>
        <w:t xml:space="preserve"> More specifically, there are also several scenarios depicted in TS36.300 to elaborate the necessity of measurement gap:</w:t>
      </w:r>
    </w:p>
    <w:p w14:paraId="196E9CEF" w14:textId="132D67C0" w:rsidR="0097202C" w:rsidRDefault="003C5B1E" w:rsidP="003C5B1E">
      <w:pPr>
        <w:pStyle w:val="TH"/>
      </w:pPr>
      <w:r w:rsidRPr="005132EF">
        <w:object w:dxaOrig="10401" w:dyaOrig="2181" w14:anchorId="2568A0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95pt;height:95.85pt" o:ole="">
            <v:imagedata r:id="rId6" o:title=""/>
          </v:shape>
          <o:OLEObject Type="Embed" ProgID="Visio.Drawing.11" ShapeID="_x0000_i1025" DrawAspect="Content" ObjectID="_1559398093" r:id="rId7"/>
        </w:object>
      </w:r>
      <w:r w:rsidRPr="005132EF">
        <w:object w:dxaOrig="10401" w:dyaOrig="3031" w14:anchorId="39D75CAF">
          <v:shape id="_x0000_i1026" type="#_x0000_t75" style="width:454.95pt;height:133.4pt" o:ole="">
            <v:imagedata r:id="rId8" o:title=""/>
          </v:shape>
          <o:OLEObject Type="Embed" ProgID="Visio.Drawing.11" ShapeID="_x0000_i1026" DrawAspect="Content" ObjectID="_1559398094" r:id="rId9"/>
        </w:object>
      </w:r>
      <w:r>
        <w:object w:dxaOrig="3315" w:dyaOrig="2181" w14:anchorId="160B8556">
          <v:shape id="_x0000_i1027" type="#_x0000_t75" style="width:142.65pt;height:94.1pt" o:ole="">
            <v:imagedata r:id="rId10" o:title=""/>
          </v:shape>
          <o:OLEObject Type="Embed" ProgID="Visio.Drawing.11" ShapeID="_x0000_i1027" DrawAspect="Content" ObjectID="_1559398095" r:id="rId11"/>
        </w:object>
      </w:r>
    </w:p>
    <w:p w14:paraId="183D2CDA" w14:textId="3C80C580" w:rsidR="003E30D3" w:rsidRPr="003E30D3" w:rsidRDefault="003E30D3" w:rsidP="003E30D3">
      <w:pPr>
        <w:pStyle w:val="TF"/>
      </w:pPr>
      <w:r w:rsidRPr="005132EF">
        <w:t>Figure 10.1.3-1: Inter and Intra-frequency measurements scenarios</w:t>
      </w:r>
    </w:p>
    <w:p w14:paraId="6AD3C243" w14:textId="58C1367B" w:rsidR="003C5B1E" w:rsidRDefault="003C5B1E" w:rsidP="00C81E8E">
      <w:r>
        <w:t>I</w:t>
      </w:r>
      <w:r>
        <w:rPr>
          <w:rFonts w:hint="eastAsia"/>
        </w:rPr>
        <w:t xml:space="preserve">n </w:t>
      </w:r>
      <w:r>
        <w:t xml:space="preserve">summary, scenario A, B, C and G are denoted as intra-frequency scenarios. Meanwhile, scenario D, E and </w:t>
      </w:r>
      <w:r w:rsidR="000D6332">
        <w:t>F</w:t>
      </w:r>
      <w:r>
        <w:t xml:space="preserve"> are denoted as inter-frequency scenarios. All the inter-frequency scenarios and intra-frequency scenario G are measurement gap assisted scenarios.</w:t>
      </w:r>
    </w:p>
    <w:p w14:paraId="35260052" w14:textId="07A4DA69" w:rsidR="001D2CCB" w:rsidRDefault="000C56D9" w:rsidP="00C81E8E">
      <w:r>
        <w:t>A</w:t>
      </w:r>
      <w:r w:rsidR="00D747E3">
        <w:t xml:space="preserve">s for NR, we’re not sure about reusing the legacy definitions of intra/inter frequency scenario. In LTE when we say </w:t>
      </w:r>
      <w:r w:rsidR="00D747E3" w:rsidRPr="00D747E3">
        <w:t>the current and target cell operates on the same carrier frequency</w:t>
      </w:r>
      <w:r w:rsidR="00D747E3">
        <w:t xml:space="preserve"> we means that the center frequencies of current and target cell are exactly the same, even if they have different bandwidth. Note that in LTE the center frequency (central 6 PRBs) can always be used for RRM measurement. Therefore, as long as the center frequencies of two cells are the same, UE can perform RRM measurement on both of them without gap assisted.</w:t>
      </w:r>
    </w:p>
    <w:p w14:paraId="1AF956C1" w14:textId="47517F04" w:rsidR="00D747E3" w:rsidRDefault="00117F7D" w:rsidP="00C81E8E">
      <w:r>
        <w:lastRenderedPageBreak/>
        <w:t>H</w:t>
      </w:r>
      <w:r>
        <w:rPr>
          <w:rFonts w:hint="eastAsia"/>
        </w:rPr>
        <w:t>owever,</w:t>
      </w:r>
      <w:r>
        <w:t xml:space="preserve"> </w:t>
      </w:r>
      <w:r w:rsidR="00CA413F">
        <w:t xml:space="preserve">in NR the SS block (used for cell synchronization and measurement) can be configured flexibly in frequency domain. And </w:t>
      </w:r>
      <w:r w:rsidR="006A2C43">
        <w:t>it was agreed</w:t>
      </w:r>
      <w:r w:rsidR="00041A0F">
        <w:t xml:space="preserve"> t</w:t>
      </w:r>
      <w:r w:rsidR="00D44B54">
        <w:t>hat SS block is</w:t>
      </w:r>
      <w:r w:rsidR="006A2C43">
        <w:t xml:space="preserve"> not</w:t>
      </w:r>
      <w:r w:rsidR="00D44B54">
        <w:t xml:space="preserve"> always present</w:t>
      </w:r>
      <w:r w:rsidR="00041A0F">
        <w:t xml:space="preserve"> in center frequency. In fact, SS block can be transmitted in different BW part(s). </w:t>
      </w:r>
      <w:r w:rsidR="009B75D6">
        <w:t>Thus even if the current and target cell have the same center frequency, UE may also need gap for target cell measurement</w:t>
      </w:r>
      <w:r w:rsidR="00C92EB2">
        <w:t xml:space="preserve"> (as depicted in </w:t>
      </w:r>
      <w:r w:rsidR="00BD2618">
        <w:fldChar w:fldCharType="begin"/>
      </w:r>
      <w:r w:rsidR="00BD2618">
        <w:instrText xml:space="preserve"> REF _Ref484612065 \h </w:instrText>
      </w:r>
      <w:r w:rsidR="00BD2618">
        <w:fldChar w:fldCharType="separate"/>
      </w:r>
      <w:r w:rsidR="00BD2618" w:rsidRPr="00BD2618">
        <w:rPr>
          <w:rFonts w:cs="Times New Roman"/>
        </w:rPr>
        <w:t xml:space="preserve">Figure </w:t>
      </w:r>
      <w:r w:rsidR="00BD2618" w:rsidRPr="00BD2618">
        <w:rPr>
          <w:rFonts w:cs="Times New Roman"/>
          <w:noProof/>
        </w:rPr>
        <w:t>1</w:t>
      </w:r>
      <w:r w:rsidR="00BD2618">
        <w:fldChar w:fldCharType="end"/>
      </w:r>
      <w:r w:rsidR="00C92EB2">
        <w:t>)</w:t>
      </w:r>
      <w:r w:rsidR="009B75D6">
        <w:t>.</w:t>
      </w:r>
    </w:p>
    <w:p w14:paraId="753CEF0F" w14:textId="0C7984B0" w:rsidR="00017B64" w:rsidRDefault="00BD2618" w:rsidP="00C92EB2">
      <w:pPr>
        <w:jc w:val="center"/>
      </w:pPr>
      <w:r>
        <w:object w:dxaOrig="4023" w:dyaOrig="2238" w14:anchorId="6E9456DE">
          <v:shape id="_x0000_i1028" type="#_x0000_t75" style="width:201pt;height:111.75pt" o:ole="">
            <v:imagedata r:id="rId12" o:title=""/>
          </v:shape>
          <o:OLEObject Type="Embed" ProgID="Visio.Drawing.11" ShapeID="_x0000_i1028" DrawAspect="Content" ObjectID="_1559398096" r:id="rId13"/>
        </w:object>
      </w:r>
    </w:p>
    <w:p w14:paraId="3DAC0FF4" w14:textId="73C4E6F9" w:rsidR="00017B64" w:rsidRPr="00BD2618" w:rsidRDefault="00BD2618" w:rsidP="00BD2618">
      <w:pPr>
        <w:pStyle w:val="Caption"/>
        <w:jc w:val="center"/>
        <w:rPr>
          <w:rFonts w:ascii="Times New Roman" w:hAnsi="Times New Roman" w:cs="Times New Roman"/>
        </w:rPr>
      </w:pPr>
      <w:bookmarkStart w:id="2" w:name="_Ref484612065"/>
      <w:r w:rsidRPr="00BD2618">
        <w:rPr>
          <w:rFonts w:ascii="Times New Roman" w:hAnsi="Times New Roman" w:cs="Times New Roman"/>
        </w:rPr>
        <w:t xml:space="preserve">Figure </w:t>
      </w:r>
      <w:r w:rsidRPr="00BD2618">
        <w:rPr>
          <w:rFonts w:ascii="Times New Roman" w:hAnsi="Times New Roman" w:cs="Times New Roman"/>
        </w:rPr>
        <w:fldChar w:fldCharType="begin"/>
      </w:r>
      <w:r w:rsidRPr="00BD2618">
        <w:rPr>
          <w:rFonts w:ascii="Times New Roman" w:hAnsi="Times New Roman" w:cs="Times New Roman"/>
        </w:rPr>
        <w:instrText xml:space="preserve"> SEQ Figure \* ARABIC </w:instrText>
      </w:r>
      <w:r w:rsidRPr="00BD2618">
        <w:rPr>
          <w:rFonts w:ascii="Times New Roman" w:hAnsi="Times New Roman" w:cs="Times New Roman"/>
        </w:rPr>
        <w:fldChar w:fldCharType="separate"/>
      </w:r>
      <w:r w:rsidR="00F958A6">
        <w:rPr>
          <w:rFonts w:ascii="Times New Roman" w:hAnsi="Times New Roman" w:cs="Times New Roman"/>
          <w:noProof/>
        </w:rPr>
        <w:t>1</w:t>
      </w:r>
      <w:r w:rsidRPr="00BD2618">
        <w:rPr>
          <w:rFonts w:ascii="Times New Roman" w:hAnsi="Times New Roman" w:cs="Times New Roman"/>
        </w:rPr>
        <w:fldChar w:fldCharType="end"/>
      </w:r>
      <w:bookmarkEnd w:id="2"/>
      <w:r w:rsidR="0028095F">
        <w:rPr>
          <w:rFonts w:ascii="Times New Roman" w:hAnsi="Times New Roman" w:cs="Times New Roman"/>
        </w:rPr>
        <w:t xml:space="preserve"> measurement gap assisted</w:t>
      </w:r>
      <w:r w:rsidR="005B0495">
        <w:rPr>
          <w:rFonts w:ascii="Times New Roman" w:hAnsi="Times New Roman" w:cs="Times New Roman"/>
        </w:rPr>
        <w:t xml:space="preserve"> scenario</w:t>
      </w:r>
    </w:p>
    <w:p w14:paraId="29A9C4D6" w14:textId="1DF5EEA7" w:rsidR="00BD2618" w:rsidRDefault="00F71CDE" w:rsidP="00C81E8E">
      <w:r>
        <w:t>O</w:t>
      </w:r>
      <w:r>
        <w:rPr>
          <w:rFonts w:hint="eastAsia"/>
        </w:rPr>
        <w:t>n the other hand, if</w:t>
      </w:r>
      <w:r>
        <w:t xml:space="preserve"> current cell and target cell have SS block at the same frequency, then UE can perform RRM measurement without gap assisted, even if they have different center frequencies (as depicted in </w:t>
      </w:r>
      <w:r w:rsidR="00D44B54">
        <w:fldChar w:fldCharType="begin"/>
      </w:r>
      <w:r w:rsidR="00D44B54">
        <w:instrText xml:space="preserve"> REF _Ref484678212 \h </w:instrText>
      </w:r>
      <w:r w:rsidR="00D44B54">
        <w:fldChar w:fldCharType="separate"/>
      </w:r>
      <w:r w:rsidR="00D44B54" w:rsidRPr="00F71CDE">
        <w:rPr>
          <w:rFonts w:cs="Times New Roman"/>
        </w:rPr>
        <w:t xml:space="preserve">Figure </w:t>
      </w:r>
      <w:r w:rsidR="00D44B54">
        <w:rPr>
          <w:rFonts w:cs="Times New Roman"/>
          <w:noProof/>
        </w:rPr>
        <w:t>2</w:t>
      </w:r>
      <w:r w:rsidR="00D44B54">
        <w:fldChar w:fldCharType="end"/>
      </w:r>
      <w:r>
        <w:t>).</w:t>
      </w:r>
    </w:p>
    <w:p w14:paraId="65FDEA90" w14:textId="48E6F4A3" w:rsidR="00F71CDE" w:rsidRDefault="00F71CDE" w:rsidP="00F71CDE">
      <w:pPr>
        <w:jc w:val="center"/>
      </w:pPr>
      <w:r>
        <w:object w:dxaOrig="3924" w:dyaOrig="3343" w14:anchorId="6F8127F6">
          <v:shape id="_x0000_i1029" type="#_x0000_t75" style="width:196.1pt;height:166.95pt" o:ole="">
            <v:imagedata r:id="rId14" o:title=""/>
          </v:shape>
          <o:OLEObject Type="Embed" ProgID="Visio.Drawing.11" ShapeID="_x0000_i1029" DrawAspect="Content" ObjectID="_1559398097" r:id="rId15"/>
        </w:object>
      </w:r>
    </w:p>
    <w:p w14:paraId="45BC24BD" w14:textId="63DDDAC3" w:rsidR="00F71CDE" w:rsidRPr="00F71CDE" w:rsidRDefault="00F71CDE" w:rsidP="00F71CDE">
      <w:pPr>
        <w:pStyle w:val="Caption"/>
        <w:jc w:val="center"/>
        <w:rPr>
          <w:rFonts w:ascii="Times New Roman" w:hAnsi="Times New Roman" w:cs="Times New Roman"/>
        </w:rPr>
      </w:pPr>
      <w:bookmarkStart w:id="3" w:name="_Ref484678212"/>
      <w:r w:rsidRPr="00F71CDE">
        <w:rPr>
          <w:rFonts w:ascii="Times New Roman" w:hAnsi="Times New Roman" w:cs="Times New Roman"/>
        </w:rPr>
        <w:t xml:space="preserve">Figure </w:t>
      </w:r>
      <w:r w:rsidRPr="00F71CDE">
        <w:rPr>
          <w:rFonts w:ascii="Times New Roman" w:hAnsi="Times New Roman" w:cs="Times New Roman"/>
        </w:rPr>
        <w:fldChar w:fldCharType="begin"/>
      </w:r>
      <w:r w:rsidRPr="00F71CDE">
        <w:rPr>
          <w:rFonts w:ascii="Times New Roman" w:hAnsi="Times New Roman" w:cs="Times New Roman"/>
        </w:rPr>
        <w:instrText xml:space="preserve"> SEQ Figure \* ARABIC </w:instrText>
      </w:r>
      <w:r w:rsidRPr="00F71CDE">
        <w:rPr>
          <w:rFonts w:ascii="Times New Roman" w:hAnsi="Times New Roman" w:cs="Times New Roman"/>
        </w:rPr>
        <w:fldChar w:fldCharType="separate"/>
      </w:r>
      <w:r w:rsidR="00F958A6">
        <w:rPr>
          <w:rFonts w:ascii="Times New Roman" w:hAnsi="Times New Roman" w:cs="Times New Roman"/>
          <w:noProof/>
        </w:rPr>
        <w:t>2</w:t>
      </w:r>
      <w:r w:rsidRPr="00F71CDE">
        <w:rPr>
          <w:rFonts w:ascii="Times New Roman" w:hAnsi="Times New Roman" w:cs="Times New Roman"/>
        </w:rPr>
        <w:fldChar w:fldCharType="end"/>
      </w:r>
      <w:bookmarkEnd w:id="3"/>
      <w:r w:rsidR="0028095F">
        <w:rPr>
          <w:rFonts w:ascii="Times New Roman" w:hAnsi="Times New Roman" w:cs="Times New Roman"/>
        </w:rPr>
        <w:t xml:space="preserve"> without measurement gap</w:t>
      </w:r>
      <w:r w:rsidR="005B0495">
        <w:rPr>
          <w:rFonts w:ascii="Times New Roman" w:hAnsi="Times New Roman" w:cs="Times New Roman"/>
        </w:rPr>
        <w:t xml:space="preserve"> assisted scenario</w:t>
      </w:r>
    </w:p>
    <w:p w14:paraId="5F43FD2F" w14:textId="48774604" w:rsidR="00F71CDE" w:rsidRDefault="00FA3522" w:rsidP="00C81E8E">
      <w:r>
        <w:t>I</w:t>
      </w:r>
      <w:r>
        <w:rPr>
          <w:rFonts w:hint="eastAsia"/>
        </w:rPr>
        <w:t xml:space="preserve">n </w:t>
      </w:r>
      <w:r>
        <w:t>a word, whether measurement gap is needed depend on the SS block location of current and target cell</w:t>
      </w:r>
      <w:r w:rsidR="00D44B54">
        <w:t>, rather than whether the two cells have the same center frequency</w:t>
      </w:r>
      <w:r>
        <w:t xml:space="preserve">. Another thing needs to be pointed out is that multiple SS block </w:t>
      </w:r>
      <w:r w:rsidR="00FD3CD4">
        <w:t>transmissions in wideband CC in frequency domain is supported. For this scenario our preliminary understanding is that if at least one of the SS block of current and target cell are at the same frequency, we can call it intra-frequency scenario.</w:t>
      </w:r>
      <w:r w:rsidR="00D44B54">
        <w:t xml:space="preserve"> In this case it should be feasible for UE to perform measurement for both current and target cells without measurement gap as long as UE is configured at the BW part where the SS block from current and target cell are present.</w:t>
      </w:r>
      <w:r w:rsidR="00FD3CD4">
        <w:t xml:space="preserve"> Otherwise it is an inter-frequency scenario:</w:t>
      </w:r>
    </w:p>
    <w:p w14:paraId="206DB973" w14:textId="765ADAE7" w:rsidR="00FD3CD4" w:rsidRDefault="00C958EF" w:rsidP="00C958EF">
      <w:pPr>
        <w:jc w:val="center"/>
      </w:pPr>
      <w:r>
        <w:object w:dxaOrig="3924" w:dyaOrig="3513" w14:anchorId="24CCCA79">
          <v:shape id="_x0000_i1030" type="#_x0000_t75" style="width:196.1pt;height:175.8pt" o:ole="">
            <v:imagedata r:id="rId16" o:title=""/>
          </v:shape>
          <o:OLEObject Type="Embed" ProgID="Visio.Drawing.11" ShapeID="_x0000_i1030" DrawAspect="Content" ObjectID="_1559398098" r:id="rId17"/>
        </w:object>
      </w:r>
      <w:r>
        <w:t xml:space="preserve"> </w:t>
      </w:r>
      <w:r>
        <w:object w:dxaOrig="3924" w:dyaOrig="3513" w14:anchorId="29F9FC90">
          <v:shape id="_x0000_i1031" type="#_x0000_t75" style="width:196.1pt;height:175.8pt" o:ole="">
            <v:imagedata r:id="rId18" o:title=""/>
          </v:shape>
          <o:OLEObject Type="Embed" ProgID="Visio.Drawing.11" ShapeID="_x0000_i1031" DrawAspect="Content" ObjectID="_1559398099" r:id="rId19"/>
        </w:object>
      </w:r>
    </w:p>
    <w:p w14:paraId="168CD1C6" w14:textId="3DDFC96C" w:rsidR="00C958EF" w:rsidRDefault="00C958EF" w:rsidP="00C958EF">
      <w:pPr>
        <w:pStyle w:val="ListParagraph"/>
        <w:numPr>
          <w:ilvl w:val="0"/>
          <w:numId w:val="4"/>
        </w:numPr>
        <w:ind w:firstLineChars="0"/>
        <w:jc w:val="center"/>
      </w:pPr>
      <w:r>
        <w:t>I</w:t>
      </w:r>
      <w:r>
        <w:rPr>
          <w:rFonts w:hint="eastAsia"/>
        </w:rPr>
        <w:t>ntra-</w:t>
      </w:r>
      <w:r>
        <w:t>frequency</w:t>
      </w:r>
      <w:r w:rsidR="00D44B54">
        <w:t xml:space="preserve"> scenario</w:t>
      </w:r>
      <w:r>
        <w:t xml:space="preserve">                  (b) inter-frequency</w:t>
      </w:r>
      <w:r w:rsidR="00D44B54">
        <w:t xml:space="preserve"> scenario</w:t>
      </w:r>
    </w:p>
    <w:p w14:paraId="113AE9F6" w14:textId="530073B2" w:rsidR="00C958EF" w:rsidRPr="00C958EF" w:rsidRDefault="00C958EF" w:rsidP="00C958EF">
      <w:pPr>
        <w:pStyle w:val="Caption"/>
        <w:jc w:val="center"/>
        <w:rPr>
          <w:rFonts w:ascii="Times New Roman" w:hAnsi="Times New Roman" w:cs="Times New Roman"/>
        </w:rPr>
      </w:pPr>
      <w:r w:rsidRPr="00C958EF">
        <w:rPr>
          <w:rFonts w:ascii="Times New Roman" w:hAnsi="Times New Roman" w:cs="Times New Roman"/>
        </w:rPr>
        <w:t xml:space="preserve">Figure </w:t>
      </w:r>
      <w:r w:rsidRPr="00C958EF">
        <w:rPr>
          <w:rFonts w:ascii="Times New Roman" w:hAnsi="Times New Roman" w:cs="Times New Roman"/>
        </w:rPr>
        <w:fldChar w:fldCharType="begin"/>
      </w:r>
      <w:r w:rsidRPr="00C958EF">
        <w:rPr>
          <w:rFonts w:ascii="Times New Roman" w:hAnsi="Times New Roman" w:cs="Times New Roman"/>
        </w:rPr>
        <w:instrText xml:space="preserve"> SEQ Figure \* ARABIC </w:instrText>
      </w:r>
      <w:r w:rsidRPr="00C958EF">
        <w:rPr>
          <w:rFonts w:ascii="Times New Roman" w:hAnsi="Times New Roman" w:cs="Times New Roman"/>
        </w:rPr>
        <w:fldChar w:fldCharType="separate"/>
      </w:r>
      <w:r w:rsidR="00F958A6">
        <w:rPr>
          <w:rFonts w:ascii="Times New Roman" w:hAnsi="Times New Roman" w:cs="Times New Roman"/>
          <w:noProof/>
        </w:rPr>
        <w:t>3</w:t>
      </w:r>
      <w:r w:rsidRPr="00C958EF">
        <w:rPr>
          <w:rFonts w:ascii="Times New Roman" w:hAnsi="Times New Roman" w:cs="Times New Roman"/>
        </w:rPr>
        <w:fldChar w:fldCharType="end"/>
      </w:r>
      <w:r>
        <w:rPr>
          <w:rFonts w:ascii="Times New Roman" w:hAnsi="Times New Roman" w:cs="Times New Roman"/>
        </w:rPr>
        <w:t xml:space="preserve"> multiple SS block</w:t>
      </w:r>
      <w:r w:rsidR="00537FFE">
        <w:rPr>
          <w:rFonts w:ascii="Times New Roman" w:hAnsi="Times New Roman" w:cs="Times New Roman"/>
        </w:rPr>
        <w:t>s</w:t>
      </w:r>
      <w:r w:rsidR="00D44B54">
        <w:rPr>
          <w:rFonts w:ascii="Times New Roman" w:hAnsi="Times New Roman" w:cs="Times New Roman"/>
        </w:rPr>
        <w:t xml:space="preserve"> transmission</w:t>
      </w:r>
      <w:r w:rsidR="0087194D">
        <w:rPr>
          <w:rFonts w:ascii="Times New Roman" w:hAnsi="Times New Roman" w:cs="Times New Roman"/>
        </w:rPr>
        <w:t xml:space="preserve"> in frequency domain</w:t>
      </w:r>
      <w:r w:rsidR="00D44B54">
        <w:rPr>
          <w:rFonts w:ascii="Times New Roman" w:hAnsi="Times New Roman" w:cs="Times New Roman"/>
        </w:rPr>
        <w:t xml:space="preserve"> scenario</w:t>
      </w:r>
    </w:p>
    <w:p w14:paraId="0A660448" w14:textId="1DAA64BD" w:rsidR="00C958EF" w:rsidRDefault="0058233B" w:rsidP="00C81E8E">
      <w:r>
        <w:t>W</w:t>
      </w:r>
      <w:r>
        <w:rPr>
          <w:rFonts w:hint="eastAsia"/>
        </w:rPr>
        <w:t xml:space="preserve">ith </w:t>
      </w:r>
      <w:r>
        <w:t>this interpretation, we briefly summarize the intra/inter frequency scenarios in NR:</w:t>
      </w:r>
    </w:p>
    <w:bookmarkStart w:id="4" w:name="OLE_LINK4"/>
    <w:p w14:paraId="694D620C" w14:textId="64A5EFE1" w:rsidR="008613D8" w:rsidRDefault="008613D8" w:rsidP="008613D8">
      <w:pPr>
        <w:jc w:val="center"/>
      </w:pPr>
      <w:r>
        <w:object w:dxaOrig="2663" w:dyaOrig="2438" w14:anchorId="13BD0642">
          <v:shape id="_x0000_i1032" type="#_x0000_t75" style="width:132.95pt;height:121.9pt" o:ole="">
            <v:imagedata r:id="rId20" o:title=""/>
          </v:shape>
          <o:OLEObject Type="Embed" ProgID="Visio.Drawing.11" ShapeID="_x0000_i1032" DrawAspect="Content" ObjectID="_1559398100" r:id="rId21"/>
        </w:object>
      </w:r>
      <w:r>
        <w:object w:dxaOrig="2663" w:dyaOrig="2438" w14:anchorId="7BA5120C">
          <v:shape id="_x0000_i1033" type="#_x0000_t75" style="width:132.95pt;height:121.9pt" o:ole="">
            <v:imagedata r:id="rId22" o:title=""/>
          </v:shape>
          <o:OLEObject Type="Embed" ProgID="Visio.Drawing.11" ShapeID="_x0000_i1033" DrawAspect="Content" ObjectID="_1559398101" r:id="rId23"/>
        </w:object>
      </w:r>
      <w:r>
        <w:object w:dxaOrig="2663" w:dyaOrig="2438" w14:anchorId="2019CDF9">
          <v:shape id="_x0000_i1034" type="#_x0000_t75" style="width:132.95pt;height:121.9pt" o:ole="">
            <v:imagedata r:id="rId24" o:title=""/>
          </v:shape>
          <o:OLEObject Type="Embed" ProgID="Visio.Drawing.11" ShapeID="_x0000_i1034" DrawAspect="Content" ObjectID="_1559398102" r:id="rId25"/>
        </w:object>
      </w:r>
    </w:p>
    <w:p w14:paraId="4CF0865F" w14:textId="5F7CBFCD" w:rsidR="008613D8" w:rsidRDefault="00DF12E9" w:rsidP="008613D8">
      <w:pPr>
        <w:jc w:val="center"/>
      </w:pPr>
      <w:r>
        <w:object w:dxaOrig="2663" w:dyaOrig="2438" w14:anchorId="2449D659">
          <v:shape id="_x0000_i1035" type="#_x0000_t75" style="width:132.95pt;height:121.9pt" o:ole="">
            <v:imagedata r:id="rId26" o:title=""/>
          </v:shape>
          <o:OLEObject Type="Embed" ProgID="Visio.Drawing.11" ShapeID="_x0000_i1035" DrawAspect="Content" ObjectID="_1559398103" r:id="rId27"/>
        </w:object>
      </w:r>
      <w:r w:rsidR="00C12438">
        <w:object w:dxaOrig="2663" w:dyaOrig="2438" w14:anchorId="510F2D3F">
          <v:shape id="_x0000_i1036" type="#_x0000_t75" style="width:132.95pt;height:121.9pt" o:ole="">
            <v:imagedata r:id="rId28" o:title=""/>
          </v:shape>
          <o:OLEObject Type="Embed" ProgID="Visio.Drawing.11" ShapeID="_x0000_i1036" DrawAspect="Content" ObjectID="_1559398104" r:id="rId29"/>
        </w:object>
      </w:r>
      <w:r w:rsidR="00C12438">
        <w:object w:dxaOrig="2663" w:dyaOrig="2438" w14:anchorId="77061995">
          <v:shape id="_x0000_i1037" type="#_x0000_t75" style="width:132.95pt;height:121.9pt" o:ole="">
            <v:imagedata r:id="rId30" o:title=""/>
          </v:shape>
          <o:OLEObject Type="Embed" ProgID="Visio.Drawing.11" ShapeID="_x0000_i1037" DrawAspect="Content" ObjectID="_1559398105" r:id="rId31"/>
        </w:object>
      </w:r>
    </w:p>
    <w:p w14:paraId="7C619029" w14:textId="5A98B949" w:rsidR="00063578" w:rsidRDefault="00063578" w:rsidP="008613D8">
      <w:pPr>
        <w:jc w:val="center"/>
      </w:pPr>
      <w:r>
        <w:object w:dxaOrig="2705" w:dyaOrig="2438" w14:anchorId="0458B808">
          <v:shape id="_x0000_i1038" type="#_x0000_t75" style="width:135.15pt;height:121.9pt" o:ole="">
            <v:imagedata r:id="rId32" o:title=""/>
          </v:shape>
          <o:OLEObject Type="Embed" ProgID="Visio.Drawing.11" ShapeID="_x0000_i1038" DrawAspect="Content" ObjectID="_1559398106" r:id="rId33"/>
        </w:object>
      </w:r>
    </w:p>
    <w:p w14:paraId="3DCC9153" w14:textId="7E7B8EEA" w:rsidR="00F22F60" w:rsidRDefault="00D76B53" w:rsidP="008613D8">
      <w:pPr>
        <w:jc w:val="center"/>
      </w:pPr>
      <w:r>
        <w:object w:dxaOrig="2705" w:dyaOrig="2438" w14:anchorId="1317433F">
          <v:shape id="_x0000_i1039" type="#_x0000_t75" style="width:135.15pt;height:121.9pt" o:ole="">
            <v:imagedata r:id="rId34" o:title=""/>
          </v:shape>
          <o:OLEObject Type="Embed" ProgID="Visio.Drawing.11" ShapeID="_x0000_i1039" DrawAspect="Content" ObjectID="_1559398107" r:id="rId35"/>
        </w:object>
      </w:r>
      <w:r>
        <w:object w:dxaOrig="2705" w:dyaOrig="2438" w14:anchorId="122DF1DA">
          <v:shape id="_x0000_i1040" type="#_x0000_t75" style="width:135.3pt;height:121.85pt" o:ole="">
            <v:imagedata r:id="rId36" o:title=""/>
          </v:shape>
          <o:OLEObject Type="Embed" ProgID="Visio.Drawing.11" ShapeID="_x0000_i1040" DrawAspect="Content" ObjectID="_1559398108" r:id="rId37"/>
        </w:object>
      </w:r>
      <w:r w:rsidR="00E3348C">
        <w:object w:dxaOrig="2705" w:dyaOrig="2438" w14:anchorId="3D05A835">
          <v:shape id="_x0000_i1041" type="#_x0000_t75" style="width:135.3pt;height:121.85pt" o:ole="">
            <v:imagedata r:id="rId38" o:title=""/>
          </v:shape>
          <o:OLEObject Type="Embed" ProgID="Visio.Drawing.11" ShapeID="_x0000_i1041" DrawAspect="Content" ObjectID="_1559398109" r:id="rId39"/>
        </w:object>
      </w:r>
    </w:p>
    <w:p w14:paraId="7BFFCFD8" w14:textId="0D5F808B" w:rsidR="00BD7458" w:rsidRDefault="00E3348C" w:rsidP="008613D8">
      <w:pPr>
        <w:jc w:val="center"/>
      </w:pPr>
      <w:r>
        <w:object w:dxaOrig="2705" w:dyaOrig="2438" w14:anchorId="706847E4">
          <v:shape id="_x0000_i1042" type="#_x0000_t75" style="width:135.3pt;height:121.85pt" o:ole="">
            <v:imagedata r:id="rId40" o:title=""/>
          </v:shape>
          <o:OLEObject Type="Embed" ProgID="Visio.Drawing.11" ShapeID="_x0000_i1042" DrawAspect="Content" ObjectID="_1559398110" r:id="rId41"/>
        </w:object>
      </w:r>
      <w:r>
        <w:object w:dxaOrig="2705" w:dyaOrig="2438" w14:anchorId="6761530C">
          <v:shape id="_x0000_i1043" type="#_x0000_t75" style="width:135.3pt;height:121.85pt" o:ole="">
            <v:imagedata r:id="rId42" o:title=""/>
          </v:shape>
          <o:OLEObject Type="Embed" ProgID="Visio.Drawing.11" ShapeID="_x0000_i1043" DrawAspect="Content" ObjectID="_1559398111" r:id="rId43"/>
        </w:object>
      </w:r>
    </w:p>
    <w:bookmarkEnd w:id="4"/>
    <w:p w14:paraId="43ABB778" w14:textId="30AD15F4" w:rsidR="00C978D5" w:rsidRPr="00C978D5" w:rsidRDefault="00C978D5" w:rsidP="00C978D5">
      <w:pPr>
        <w:pStyle w:val="Caption"/>
        <w:jc w:val="center"/>
        <w:rPr>
          <w:rFonts w:ascii="Times New Roman" w:hAnsi="Times New Roman" w:cs="Times New Roman"/>
        </w:rPr>
      </w:pPr>
      <w:r w:rsidRPr="00C978D5">
        <w:rPr>
          <w:rFonts w:ascii="Times New Roman" w:hAnsi="Times New Roman" w:cs="Times New Roman"/>
        </w:rPr>
        <w:t xml:space="preserve">Figure </w:t>
      </w:r>
      <w:r w:rsidRPr="00C978D5">
        <w:rPr>
          <w:rFonts w:ascii="Times New Roman" w:hAnsi="Times New Roman" w:cs="Times New Roman"/>
        </w:rPr>
        <w:fldChar w:fldCharType="begin"/>
      </w:r>
      <w:r w:rsidRPr="00C978D5">
        <w:rPr>
          <w:rFonts w:ascii="Times New Roman" w:hAnsi="Times New Roman" w:cs="Times New Roman"/>
        </w:rPr>
        <w:instrText xml:space="preserve"> SEQ Figure \* ARABIC </w:instrText>
      </w:r>
      <w:r w:rsidRPr="00C978D5">
        <w:rPr>
          <w:rFonts w:ascii="Times New Roman" w:hAnsi="Times New Roman" w:cs="Times New Roman"/>
        </w:rPr>
        <w:fldChar w:fldCharType="separate"/>
      </w:r>
      <w:r w:rsidR="00F958A6">
        <w:rPr>
          <w:rFonts w:ascii="Times New Roman" w:hAnsi="Times New Roman" w:cs="Times New Roman"/>
          <w:noProof/>
        </w:rPr>
        <w:t>4</w:t>
      </w:r>
      <w:r w:rsidRPr="00C978D5">
        <w:rPr>
          <w:rFonts w:ascii="Times New Roman" w:hAnsi="Times New Roman" w:cs="Times New Roman"/>
        </w:rPr>
        <w:fldChar w:fldCharType="end"/>
      </w:r>
      <w:r>
        <w:rPr>
          <w:rFonts w:ascii="Times New Roman" w:hAnsi="Times New Roman" w:cs="Times New Roman"/>
        </w:rPr>
        <w:t xml:space="preserve"> intra/inter frequency </w:t>
      </w:r>
      <w:r w:rsidR="004800A7">
        <w:rPr>
          <w:rFonts w:ascii="Times New Roman" w:hAnsi="Times New Roman" w:cs="Times New Roman"/>
        </w:rPr>
        <w:t xml:space="preserve">measurement </w:t>
      </w:r>
      <w:r>
        <w:rPr>
          <w:rFonts w:ascii="Times New Roman" w:hAnsi="Times New Roman" w:cs="Times New Roman"/>
        </w:rPr>
        <w:t>scenarios in NR</w:t>
      </w:r>
    </w:p>
    <w:p w14:paraId="58B74298" w14:textId="00F8B258" w:rsidR="008613D8" w:rsidRDefault="00DB3B25" w:rsidP="00C81E8E">
      <w:r>
        <w:t>S</w:t>
      </w:r>
      <w:r>
        <w:rPr>
          <w:rFonts w:hint="eastAsia"/>
        </w:rPr>
        <w:t xml:space="preserve">cenario </w:t>
      </w:r>
      <w:r>
        <w:t xml:space="preserve">A~G are basically the same with that of LTE </w:t>
      </w:r>
      <w:r w:rsidR="00642E62">
        <w:t xml:space="preserve">as </w:t>
      </w:r>
      <w:r>
        <w:t xml:space="preserve">specified in TS36.300, i.e. scenario A, B, C and G are denoted as intra-frequency scenarios. Meanwhile, scenario D, E and </w:t>
      </w:r>
      <w:r w:rsidR="00642E62">
        <w:t>F</w:t>
      </w:r>
      <w:r>
        <w:t xml:space="preserve"> are denoted as inter-frequency scenarios. All the inter-frequency scenarios and intra-frequency scenario G are measurement gap assisted scenarios.</w:t>
      </w:r>
    </w:p>
    <w:p w14:paraId="65F7CBC9" w14:textId="5798C637" w:rsidR="00DB3B25" w:rsidRDefault="00DB3B25" w:rsidP="00C81E8E">
      <w:r>
        <w:t>S</w:t>
      </w:r>
      <w:r>
        <w:rPr>
          <w:rFonts w:hint="eastAsia"/>
        </w:rPr>
        <w:t xml:space="preserve">cenario </w:t>
      </w:r>
      <w:r>
        <w:t>H~L are NR specific:</w:t>
      </w:r>
    </w:p>
    <w:p w14:paraId="14286DD3" w14:textId="71B1F695" w:rsidR="00D76B53" w:rsidRDefault="00D76B53" w:rsidP="002A20DA">
      <w:pPr>
        <w:pStyle w:val="B1"/>
        <w:numPr>
          <w:ilvl w:val="0"/>
          <w:numId w:val="5"/>
        </w:numPr>
        <w:rPr>
          <w:lang w:eastAsia="ja-JP"/>
        </w:rPr>
      </w:pPr>
      <w:bookmarkStart w:id="5" w:name="OLE_LINK3"/>
      <w:r>
        <w:rPr>
          <w:lang w:eastAsia="ja-JP"/>
        </w:rPr>
        <w:t xml:space="preserve">Same </w:t>
      </w:r>
      <w:r w:rsidR="006804AE">
        <w:rPr>
          <w:lang w:eastAsia="zh-CN"/>
        </w:rPr>
        <w:t>SS burst set</w:t>
      </w:r>
      <w:r w:rsidRPr="005132EF">
        <w:rPr>
          <w:lang w:eastAsia="ja-JP"/>
        </w:rPr>
        <w:t xml:space="preserve"> carrier frequency </w:t>
      </w:r>
      <w:r>
        <w:rPr>
          <w:lang w:eastAsia="ja-JP"/>
        </w:rPr>
        <w:t>(Scenario H</w:t>
      </w:r>
      <w:r w:rsidRPr="005132EF">
        <w:rPr>
          <w:lang w:eastAsia="ja-JP"/>
        </w:rPr>
        <w:t>): an int</w:t>
      </w:r>
      <w:r>
        <w:rPr>
          <w:lang w:eastAsia="ja-JP"/>
        </w:rPr>
        <w:t>ra</w:t>
      </w:r>
      <w:r w:rsidRPr="005132EF">
        <w:rPr>
          <w:lang w:eastAsia="ja-JP"/>
        </w:rPr>
        <w:t xml:space="preserve">-frequency scenario; </w:t>
      </w:r>
      <w:r>
        <w:rPr>
          <w:lang w:eastAsia="ja-JP"/>
        </w:rPr>
        <w:t xml:space="preserve">not </w:t>
      </w:r>
      <w:r w:rsidRPr="005132EF">
        <w:rPr>
          <w:lang w:eastAsia="ja-JP"/>
        </w:rPr>
        <w:t>measurement gap assisted</w:t>
      </w:r>
      <w:r>
        <w:rPr>
          <w:lang w:eastAsia="ja-JP"/>
        </w:rPr>
        <w:t>.</w:t>
      </w:r>
    </w:p>
    <w:p w14:paraId="12B80B99" w14:textId="66B3B924" w:rsidR="00DB3B25" w:rsidRDefault="00DB3B25" w:rsidP="002A20DA">
      <w:pPr>
        <w:pStyle w:val="B1"/>
        <w:numPr>
          <w:ilvl w:val="0"/>
          <w:numId w:val="5"/>
        </w:numPr>
        <w:rPr>
          <w:lang w:eastAsia="ja-JP"/>
        </w:rPr>
      </w:pPr>
      <w:r>
        <w:rPr>
          <w:lang w:eastAsia="ja-JP"/>
        </w:rPr>
        <w:t xml:space="preserve">Different </w:t>
      </w:r>
      <w:r w:rsidR="006804AE">
        <w:rPr>
          <w:lang w:eastAsia="zh-CN"/>
        </w:rPr>
        <w:t>SS burst set</w:t>
      </w:r>
      <w:r w:rsidRPr="005132EF">
        <w:rPr>
          <w:lang w:eastAsia="ja-JP"/>
        </w:rPr>
        <w:t xml:space="preserve"> carrier frequency </w:t>
      </w:r>
      <w:r w:rsidR="00D76B53">
        <w:rPr>
          <w:lang w:eastAsia="ja-JP"/>
        </w:rPr>
        <w:t>(Scenario I</w:t>
      </w:r>
      <w:r w:rsidRPr="005132EF">
        <w:rPr>
          <w:lang w:eastAsia="ja-JP"/>
        </w:rPr>
        <w:t>): an int</w:t>
      </w:r>
      <w:r>
        <w:rPr>
          <w:lang w:eastAsia="ja-JP"/>
        </w:rPr>
        <w:t>er</w:t>
      </w:r>
      <w:r w:rsidRPr="005132EF">
        <w:rPr>
          <w:lang w:eastAsia="ja-JP"/>
        </w:rPr>
        <w:t>-frequency scenario; measurement gap assisted</w:t>
      </w:r>
      <w:r>
        <w:rPr>
          <w:lang w:eastAsia="ja-JP"/>
        </w:rPr>
        <w:t xml:space="preserve"> scenario</w:t>
      </w:r>
      <w:r w:rsidRPr="005132EF">
        <w:rPr>
          <w:lang w:eastAsia="ja-JP"/>
        </w:rPr>
        <w:t>.</w:t>
      </w:r>
    </w:p>
    <w:p w14:paraId="6B947C11" w14:textId="52FB1387" w:rsidR="00DB3B25" w:rsidRDefault="00DB3B25" w:rsidP="002A20DA">
      <w:pPr>
        <w:pStyle w:val="B1"/>
        <w:numPr>
          <w:ilvl w:val="0"/>
          <w:numId w:val="5"/>
        </w:numPr>
        <w:rPr>
          <w:lang w:eastAsia="ja-JP"/>
        </w:rPr>
      </w:pPr>
      <w:r>
        <w:rPr>
          <w:lang w:eastAsia="ja-JP"/>
        </w:rPr>
        <w:t xml:space="preserve">Multiple </w:t>
      </w:r>
      <w:r w:rsidR="006804AE">
        <w:rPr>
          <w:lang w:eastAsia="zh-CN"/>
        </w:rPr>
        <w:t>SS burst sets</w:t>
      </w:r>
      <w:r>
        <w:rPr>
          <w:lang w:eastAsia="ja-JP"/>
        </w:rPr>
        <w:t xml:space="preserve"> scenario with at least one of the </w:t>
      </w:r>
      <w:r w:rsidR="006804AE">
        <w:rPr>
          <w:lang w:eastAsia="zh-CN"/>
        </w:rPr>
        <w:t>SS burst set</w:t>
      </w:r>
      <w:r>
        <w:rPr>
          <w:lang w:eastAsia="ja-JP"/>
        </w:rPr>
        <w:t xml:space="preserve"> of each cell share the same carrier frequency (Scenario J); </w:t>
      </w:r>
      <w:r w:rsidRPr="005132EF">
        <w:rPr>
          <w:lang w:eastAsia="ja-JP"/>
        </w:rPr>
        <w:t>an int</w:t>
      </w:r>
      <w:r>
        <w:rPr>
          <w:lang w:eastAsia="ja-JP"/>
        </w:rPr>
        <w:t>ra</w:t>
      </w:r>
      <w:r w:rsidRPr="005132EF">
        <w:rPr>
          <w:lang w:eastAsia="ja-JP"/>
        </w:rPr>
        <w:t xml:space="preserve">-frequency scenario; </w:t>
      </w:r>
      <w:r>
        <w:rPr>
          <w:lang w:eastAsia="ja-JP"/>
        </w:rPr>
        <w:t xml:space="preserve">not </w:t>
      </w:r>
      <w:r w:rsidRPr="005132EF">
        <w:rPr>
          <w:lang w:eastAsia="ja-JP"/>
        </w:rPr>
        <w:t>measurement gap assisted</w:t>
      </w:r>
      <w:r>
        <w:rPr>
          <w:lang w:eastAsia="ja-JP"/>
        </w:rPr>
        <w:t>.</w:t>
      </w:r>
    </w:p>
    <w:p w14:paraId="2A77C522" w14:textId="5C1B71B1" w:rsidR="00D00FB8" w:rsidRDefault="00DB3B25" w:rsidP="002A20DA">
      <w:pPr>
        <w:pStyle w:val="B1"/>
        <w:numPr>
          <w:ilvl w:val="0"/>
          <w:numId w:val="5"/>
        </w:numPr>
        <w:rPr>
          <w:lang w:eastAsia="ja-JP"/>
        </w:rPr>
      </w:pPr>
      <w:r>
        <w:rPr>
          <w:lang w:eastAsia="ja-JP"/>
        </w:rPr>
        <w:t xml:space="preserve">Multiple </w:t>
      </w:r>
      <w:r w:rsidR="006804AE">
        <w:rPr>
          <w:lang w:eastAsia="zh-CN"/>
        </w:rPr>
        <w:t>SS burst sets</w:t>
      </w:r>
      <w:r>
        <w:rPr>
          <w:lang w:eastAsia="ja-JP"/>
        </w:rPr>
        <w:t xml:space="preserve"> scenario with</w:t>
      </w:r>
      <w:r w:rsidR="00D00FB8">
        <w:rPr>
          <w:lang w:eastAsia="ja-JP"/>
        </w:rPr>
        <w:t xml:space="preserve">out any </w:t>
      </w:r>
      <w:r w:rsidR="006804AE">
        <w:rPr>
          <w:lang w:eastAsia="zh-CN"/>
        </w:rPr>
        <w:t>SS burst set</w:t>
      </w:r>
      <w:r w:rsidR="00D00FB8">
        <w:rPr>
          <w:lang w:eastAsia="ja-JP"/>
        </w:rPr>
        <w:t xml:space="preserve"> of each cell share the same carrier frequency (Scenario K);</w:t>
      </w:r>
      <w:r w:rsidR="00D00FB8" w:rsidRPr="00D00FB8">
        <w:rPr>
          <w:lang w:eastAsia="ja-JP"/>
        </w:rPr>
        <w:t xml:space="preserve"> </w:t>
      </w:r>
      <w:r w:rsidR="00D00FB8" w:rsidRPr="005132EF">
        <w:rPr>
          <w:lang w:eastAsia="ja-JP"/>
        </w:rPr>
        <w:t>an int</w:t>
      </w:r>
      <w:r w:rsidR="00D00FB8">
        <w:rPr>
          <w:lang w:eastAsia="ja-JP"/>
        </w:rPr>
        <w:t>er</w:t>
      </w:r>
      <w:r w:rsidR="00D00FB8" w:rsidRPr="005132EF">
        <w:rPr>
          <w:lang w:eastAsia="ja-JP"/>
        </w:rPr>
        <w:t>-frequency scenario; measurement gap assisted</w:t>
      </w:r>
      <w:r w:rsidR="00D00FB8">
        <w:rPr>
          <w:lang w:eastAsia="ja-JP"/>
        </w:rPr>
        <w:t xml:space="preserve"> scenario</w:t>
      </w:r>
      <w:r w:rsidR="00D00FB8" w:rsidRPr="005132EF">
        <w:rPr>
          <w:lang w:eastAsia="ja-JP"/>
        </w:rPr>
        <w:t>.</w:t>
      </w:r>
    </w:p>
    <w:p w14:paraId="0D769F87" w14:textId="6B6D44A3" w:rsidR="00DB3B25" w:rsidRDefault="00D00FB8" w:rsidP="002A20DA">
      <w:pPr>
        <w:pStyle w:val="B1"/>
        <w:numPr>
          <w:ilvl w:val="0"/>
          <w:numId w:val="5"/>
        </w:numPr>
        <w:rPr>
          <w:lang w:eastAsia="ja-JP"/>
        </w:rPr>
      </w:pPr>
      <w:r>
        <w:rPr>
          <w:lang w:eastAsia="ja-JP"/>
        </w:rPr>
        <w:t xml:space="preserve">Multiple </w:t>
      </w:r>
      <w:r w:rsidR="006804AE">
        <w:rPr>
          <w:lang w:eastAsia="zh-CN"/>
        </w:rPr>
        <w:t>SS burst sets</w:t>
      </w:r>
      <w:r>
        <w:rPr>
          <w:lang w:eastAsia="ja-JP"/>
        </w:rPr>
        <w:t xml:space="preserve"> scenario with at least one of the </w:t>
      </w:r>
      <w:r w:rsidR="006804AE">
        <w:rPr>
          <w:lang w:eastAsia="zh-CN"/>
        </w:rPr>
        <w:t>SS burst set</w:t>
      </w:r>
      <w:r>
        <w:rPr>
          <w:lang w:eastAsia="ja-JP"/>
        </w:rPr>
        <w:t xml:space="preserve"> of each cell share the same carrier frequency whilst UE is not located on any of this/these </w:t>
      </w:r>
      <w:r w:rsidR="006804AE">
        <w:rPr>
          <w:lang w:eastAsia="zh-CN"/>
        </w:rPr>
        <w:t>SS burst set</w:t>
      </w:r>
      <w:r>
        <w:rPr>
          <w:lang w:eastAsia="ja-JP"/>
        </w:rPr>
        <w:t xml:space="preserve">(s) (Scenario </w:t>
      </w:r>
      <w:r w:rsidR="00043F0E">
        <w:rPr>
          <w:lang w:eastAsia="ja-JP"/>
        </w:rPr>
        <w:t>L</w:t>
      </w:r>
      <w:r>
        <w:rPr>
          <w:lang w:eastAsia="ja-JP"/>
        </w:rPr>
        <w:t>);</w:t>
      </w:r>
      <w:r w:rsidRPr="00D00FB8">
        <w:rPr>
          <w:lang w:eastAsia="ja-JP"/>
        </w:rPr>
        <w:t xml:space="preserve"> </w:t>
      </w:r>
      <w:r>
        <w:rPr>
          <w:lang w:eastAsia="ja-JP"/>
        </w:rPr>
        <w:t>an intra-frequency scenario;</w:t>
      </w:r>
      <w:r w:rsidRPr="005132EF">
        <w:rPr>
          <w:lang w:eastAsia="ja-JP"/>
        </w:rPr>
        <w:t xml:space="preserve"> measurement gap assisted</w:t>
      </w:r>
      <w:r>
        <w:rPr>
          <w:lang w:eastAsia="ja-JP"/>
        </w:rPr>
        <w:t xml:space="preserve"> scenario</w:t>
      </w:r>
      <w:r w:rsidRPr="005132EF">
        <w:rPr>
          <w:lang w:eastAsia="ja-JP"/>
        </w:rPr>
        <w:t>.</w:t>
      </w:r>
    </w:p>
    <w:bookmarkEnd w:id="5"/>
    <w:p w14:paraId="60D1B02F" w14:textId="77777777" w:rsidR="00043F0E" w:rsidRDefault="00043F0E" w:rsidP="00DB3B25">
      <w:pPr>
        <w:pStyle w:val="B1"/>
        <w:ind w:left="0" w:firstLine="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summary:</w:t>
      </w:r>
    </w:p>
    <w:p w14:paraId="552CFEDD" w14:textId="76BB3369" w:rsidR="00DB3B25" w:rsidRDefault="00043F0E" w:rsidP="00043F0E">
      <w:pPr>
        <w:pStyle w:val="B1"/>
        <w:numPr>
          <w:ilvl w:val="0"/>
          <w:numId w:val="6"/>
        </w:numPr>
        <w:rPr>
          <w:rFonts w:eastAsiaTheme="minorEastAsia"/>
          <w:lang w:eastAsia="zh-CN"/>
        </w:rPr>
      </w:pPr>
      <w:r>
        <w:rPr>
          <w:rFonts w:eastAsiaTheme="minorEastAsia"/>
          <w:lang w:eastAsia="zh-CN"/>
        </w:rPr>
        <w:t>Scenario A, B, C, G, H, J and L are intra-frequency scenarios.</w:t>
      </w:r>
    </w:p>
    <w:p w14:paraId="0EBA143F" w14:textId="2C0334D6" w:rsidR="00043F0E" w:rsidRDefault="00043F0E" w:rsidP="00043F0E">
      <w:pPr>
        <w:pStyle w:val="B1"/>
        <w:numPr>
          <w:ilvl w:val="0"/>
          <w:numId w:val="6"/>
        </w:numPr>
        <w:rPr>
          <w:rFonts w:eastAsiaTheme="minorEastAsia"/>
          <w:lang w:eastAsia="zh-CN"/>
        </w:rPr>
      </w:pPr>
      <w:r>
        <w:rPr>
          <w:rFonts w:eastAsiaTheme="minorEastAsia"/>
          <w:lang w:eastAsia="zh-CN"/>
        </w:rPr>
        <w:t>Scenario D, E, F, I and K are inter-frequency scenarios.</w:t>
      </w:r>
    </w:p>
    <w:p w14:paraId="1963FD90" w14:textId="29FED60C" w:rsidR="00043F0E" w:rsidRDefault="00043F0E" w:rsidP="00043F0E">
      <w:pPr>
        <w:pStyle w:val="B1"/>
        <w:numPr>
          <w:ilvl w:val="0"/>
          <w:numId w:val="6"/>
        </w:numPr>
        <w:rPr>
          <w:rFonts w:eastAsiaTheme="minorEastAsia"/>
          <w:lang w:eastAsia="zh-CN"/>
        </w:rPr>
      </w:pPr>
      <w:r>
        <w:rPr>
          <w:rFonts w:eastAsiaTheme="minorEastAsia"/>
          <w:lang w:eastAsia="zh-CN"/>
        </w:rPr>
        <w:t>Scenario A, B, C, H and J are not measurement gap assisted scenarios.</w:t>
      </w:r>
    </w:p>
    <w:p w14:paraId="3066518B" w14:textId="60530A66" w:rsidR="00043F0E" w:rsidRDefault="00043F0E" w:rsidP="00043F0E">
      <w:pPr>
        <w:pStyle w:val="B1"/>
        <w:numPr>
          <w:ilvl w:val="0"/>
          <w:numId w:val="6"/>
        </w:numPr>
        <w:rPr>
          <w:rFonts w:eastAsiaTheme="minorEastAsia"/>
          <w:lang w:eastAsia="zh-CN"/>
        </w:rPr>
      </w:pPr>
      <w:r>
        <w:rPr>
          <w:rFonts w:eastAsiaTheme="minorEastAsia"/>
          <w:lang w:eastAsia="zh-CN"/>
        </w:rPr>
        <w:lastRenderedPageBreak/>
        <w:t xml:space="preserve">Scenario </w:t>
      </w:r>
      <w:bookmarkStart w:id="6" w:name="OLE_LINK72"/>
      <w:r>
        <w:rPr>
          <w:rFonts w:eastAsiaTheme="minorEastAsia"/>
          <w:lang w:eastAsia="zh-CN"/>
        </w:rPr>
        <w:t>D, E, F, G, I, K and L</w:t>
      </w:r>
      <w:bookmarkEnd w:id="6"/>
      <w:r>
        <w:rPr>
          <w:rFonts w:eastAsiaTheme="minorEastAsia"/>
          <w:lang w:eastAsia="zh-CN"/>
        </w:rPr>
        <w:t xml:space="preserve"> are measurement gap assisted scenarios.</w:t>
      </w:r>
    </w:p>
    <w:p w14:paraId="3342CFAE" w14:textId="4AA9C748" w:rsidR="00D87779" w:rsidRDefault="003529C2" w:rsidP="00D87779">
      <w:pPr>
        <w:pStyle w:val="B1"/>
        <w:ind w:left="0" w:firstLine="0"/>
        <w:rPr>
          <w:rFonts w:eastAsiaTheme="minorEastAsia"/>
          <w:lang w:eastAsia="zh-CN"/>
        </w:rPr>
      </w:pPr>
      <w:r>
        <w:rPr>
          <w:rFonts w:eastAsiaTheme="minorEastAsia"/>
          <w:lang w:eastAsia="zh-CN"/>
        </w:rPr>
        <w:t>B</w:t>
      </w:r>
      <w:r>
        <w:rPr>
          <w:rFonts w:eastAsiaTheme="minorEastAsia" w:hint="eastAsia"/>
          <w:lang w:eastAsia="zh-CN"/>
        </w:rPr>
        <w:t xml:space="preserve">ased </w:t>
      </w:r>
      <w:r>
        <w:rPr>
          <w:rFonts w:eastAsiaTheme="minorEastAsia"/>
          <w:lang w:eastAsia="zh-CN"/>
        </w:rPr>
        <w:t>on above discussion we propose definitions of intra/inter-frequency scenarios in NR as follows:</w:t>
      </w:r>
    </w:p>
    <w:p w14:paraId="3B28A29F" w14:textId="6E04D69A" w:rsidR="003529C2" w:rsidRPr="003529C2" w:rsidRDefault="003529C2" w:rsidP="003529C2">
      <w:pPr>
        <w:pStyle w:val="Caption"/>
        <w:rPr>
          <w:rFonts w:ascii="Times New Roman" w:hAnsi="Times New Roman" w:cs="Times New Roman"/>
          <w:i/>
        </w:rPr>
      </w:pPr>
      <w:bookmarkStart w:id="7" w:name="_Ref485119358"/>
      <w:r w:rsidRPr="003529C2">
        <w:rPr>
          <w:rFonts w:ascii="Times New Roman" w:hAnsi="Times New Roman" w:cs="Times New Roman"/>
          <w:b/>
          <w:i/>
        </w:rPr>
        <w:t xml:space="preserve">Proposal </w:t>
      </w:r>
      <w:r w:rsidRPr="003529C2">
        <w:rPr>
          <w:rFonts w:ascii="Times New Roman" w:hAnsi="Times New Roman" w:cs="Times New Roman"/>
          <w:b/>
          <w:i/>
        </w:rPr>
        <w:fldChar w:fldCharType="begin"/>
      </w:r>
      <w:r w:rsidRPr="003529C2">
        <w:rPr>
          <w:rFonts w:ascii="Times New Roman" w:hAnsi="Times New Roman" w:cs="Times New Roman"/>
          <w:b/>
          <w:i/>
        </w:rPr>
        <w:instrText xml:space="preserve"> SEQ Proposal \* ARABIC </w:instrText>
      </w:r>
      <w:r w:rsidRPr="003529C2">
        <w:rPr>
          <w:rFonts w:ascii="Times New Roman" w:hAnsi="Times New Roman" w:cs="Times New Roman"/>
          <w:b/>
          <w:i/>
        </w:rPr>
        <w:fldChar w:fldCharType="separate"/>
      </w:r>
      <w:r w:rsidR="00AC7095">
        <w:rPr>
          <w:rFonts w:ascii="Times New Roman" w:hAnsi="Times New Roman" w:cs="Times New Roman"/>
          <w:b/>
          <w:i/>
          <w:noProof/>
        </w:rPr>
        <w:t>1</w:t>
      </w:r>
      <w:r w:rsidRPr="003529C2">
        <w:rPr>
          <w:rFonts w:ascii="Times New Roman" w:hAnsi="Times New Roman" w:cs="Times New Roman"/>
          <w:b/>
          <w:i/>
        </w:rPr>
        <w:fldChar w:fldCharType="end"/>
      </w:r>
      <w:r w:rsidRPr="00EC1682">
        <w:rPr>
          <w:rFonts w:ascii="Times New Roman" w:hAnsi="Times New Roman" w:cs="Times New Roman"/>
          <w:b/>
          <w:i/>
        </w:rPr>
        <w:t>:</w:t>
      </w:r>
      <w:r w:rsidRPr="003529C2">
        <w:rPr>
          <w:rFonts w:ascii="Times New Roman" w:hAnsi="Times New Roman" w:cs="Times New Roman"/>
          <w:i/>
        </w:rPr>
        <w:t xml:space="preserve"> Intra-frequency neighbour (cell) measurements and inter-frequency neighbour (cell) measurements in NR are defined as follows:</w:t>
      </w:r>
      <w:bookmarkEnd w:id="7"/>
    </w:p>
    <w:p w14:paraId="66CF3580" w14:textId="498855E9" w:rsidR="003529C2" w:rsidRPr="003529C2" w:rsidRDefault="003529C2" w:rsidP="006804AE">
      <w:pPr>
        <w:pStyle w:val="ListParagraph"/>
        <w:numPr>
          <w:ilvl w:val="0"/>
          <w:numId w:val="7"/>
        </w:numPr>
        <w:ind w:firstLineChars="0"/>
        <w:rPr>
          <w:rFonts w:cs="Times New Roman"/>
          <w:i/>
        </w:rPr>
      </w:pPr>
      <w:r w:rsidRPr="003529C2">
        <w:rPr>
          <w:rFonts w:cs="Times New Roman"/>
          <w:i/>
        </w:rPr>
        <w:t xml:space="preserve">Intra-frequency neighbour (cell) measurements: </w:t>
      </w:r>
      <w:r w:rsidRPr="003529C2">
        <w:rPr>
          <w:rFonts w:cs="Times New Roman"/>
          <w:i/>
          <w:lang w:eastAsia="ja-JP"/>
        </w:rPr>
        <w:t xml:space="preserve">Neighbour cell measurements performed by the UE are intra-frequency measurements when the current and target cell has at least one </w:t>
      </w:r>
      <w:r w:rsidR="006804AE" w:rsidRPr="006804AE">
        <w:rPr>
          <w:rFonts w:cs="Times New Roman"/>
          <w:i/>
          <w:lang w:eastAsia="ja-JP"/>
        </w:rPr>
        <w:t>SS burst set</w:t>
      </w:r>
      <w:r w:rsidRPr="003529C2">
        <w:rPr>
          <w:rFonts w:cs="Times New Roman"/>
          <w:i/>
          <w:lang w:eastAsia="ja-JP"/>
        </w:rPr>
        <w:t xml:space="preserve"> transmi</w:t>
      </w:r>
      <w:r w:rsidR="005C0923">
        <w:rPr>
          <w:rFonts w:cs="Times New Roman"/>
          <w:i/>
          <w:lang w:eastAsia="ja-JP"/>
        </w:rPr>
        <w:t>tted</w:t>
      </w:r>
      <w:r w:rsidRPr="003529C2">
        <w:rPr>
          <w:rFonts w:cs="Times New Roman"/>
          <w:i/>
          <w:lang w:eastAsia="ja-JP"/>
        </w:rPr>
        <w:t xml:space="preserve"> on the same carrier frequency.</w:t>
      </w:r>
    </w:p>
    <w:p w14:paraId="2F7176D5" w14:textId="6FD3A7DB" w:rsidR="003750F3" w:rsidRPr="006E5AAD" w:rsidRDefault="003529C2" w:rsidP="006804AE">
      <w:pPr>
        <w:pStyle w:val="ListParagraph"/>
        <w:numPr>
          <w:ilvl w:val="0"/>
          <w:numId w:val="7"/>
        </w:numPr>
        <w:ind w:firstLineChars="0"/>
        <w:rPr>
          <w:rFonts w:cs="Times New Roman"/>
          <w:i/>
        </w:rPr>
      </w:pPr>
      <w:r w:rsidRPr="003529C2">
        <w:rPr>
          <w:rFonts w:cs="Times New Roman"/>
          <w:i/>
        </w:rPr>
        <w:t xml:space="preserve">Inter-frequency neighbour (cell) measurements: </w:t>
      </w:r>
      <w:r w:rsidRPr="003529C2">
        <w:rPr>
          <w:rFonts w:cs="Times New Roman"/>
          <w:i/>
          <w:lang w:eastAsia="ja-JP"/>
        </w:rPr>
        <w:t xml:space="preserve">Neighbour cell measurements performed by the UE are inter-frequency measurements when all the </w:t>
      </w:r>
      <w:r w:rsidR="006804AE" w:rsidRPr="006804AE">
        <w:rPr>
          <w:rFonts w:cs="Times New Roman"/>
          <w:i/>
          <w:lang w:eastAsia="ja-JP"/>
        </w:rPr>
        <w:t>SS burst set</w:t>
      </w:r>
      <w:r w:rsidRPr="003529C2">
        <w:rPr>
          <w:rFonts w:cs="Times New Roman"/>
          <w:i/>
          <w:lang w:eastAsia="ja-JP"/>
        </w:rPr>
        <w:t xml:space="preserve">(s) from </w:t>
      </w:r>
      <w:proofErr w:type="spellStart"/>
      <w:r w:rsidRPr="003529C2">
        <w:rPr>
          <w:rFonts w:cs="Times New Roman"/>
          <w:i/>
          <w:lang w:eastAsia="ja-JP"/>
        </w:rPr>
        <w:t>neighbour</w:t>
      </w:r>
      <w:proofErr w:type="spellEnd"/>
      <w:r w:rsidRPr="003529C2">
        <w:rPr>
          <w:rFonts w:cs="Times New Roman"/>
          <w:i/>
          <w:lang w:eastAsia="ja-JP"/>
        </w:rPr>
        <w:t xml:space="preserve"> cell is/are transmitted on </w:t>
      </w:r>
      <w:r w:rsidR="005C0923">
        <w:rPr>
          <w:rFonts w:cs="Times New Roman"/>
          <w:i/>
          <w:lang w:eastAsia="ja-JP"/>
        </w:rPr>
        <w:t xml:space="preserve">the </w:t>
      </w:r>
      <w:r w:rsidRPr="003529C2">
        <w:rPr>
          <w:rFonts w:cs="Times New Roman"/>
          <w:i/>
          <w:lang w:eastAsia="ja-JP"/>
        </w:rPr>
        <w:t>different carrier frequency, compared to the current cell.</w:t>
      </w:r>
    </w:p>
    <w:p w14:paraId="7A533A9F" w14:textId="77777777" w:rsidR="0097202C" w:rsidRPr="00C560A6" w:rsidRDefault="0097202C" w:rsidP="0097202C">
      <w:pPr>
        <w:pStyle w:val="Heading1"/>
        <w:jc w:val="both"/>
        <w:rPr>
          <w:rFonts w:ascii="Arial" w:hAnsi="Arial" w:cs="Arial"/>
          <w:lang w:val="en-US"/>
        </w:rPr>
      </w:pPr>
      <w:r>
        <w:rPr>
          <w:rFonts w:ascii="Arial" w:hAnsi="Arial" w:cs="Arial"/>
          <w:lang w:val="en-US"/>
        </w:rPr>
        <w:t>Conclusion</w:t>
      </w:r>
    </w:p>
    <w:p w14:paraId="6EFF8164" w14:textId="46796B9A" w:rsidR="003735C4" w:rsidRDefault="00826188" w:rsidP="00C81E8E">
      <w:r>
        <w:t>I</w:t>
      </w:r>
      <w:r>
        <w:rPr>
          <w:rFonts w:hint="eastAsia"/>
        </w:rPr>
        <w:t xml:space="preserve">n </w:t>
      </w:r>
      <w:r>
        <w:t xml:space="preserve">this contribution we provide our view on definition of intra/inter frequency measurement scenarios in NR. </w:t>
      </w:r>
      <w:r w:rsidR="00B36D56">
        <w:t>After discussion, the following conclusions are made:</w:t>
      </w:r>
    </w:p>
    <w:p w14:paraId="301B9501" w14:textId="30284941" w:rsidR="0097202C" w:rsidRDefault="00B70BAA" w:rsidP="00C81E8E">
      <w:r>
        <w:fldChar w:fldCharType="begin"/>
      </w:r>
      <w:r>
        <w:instrText xml:space="preserve"> REF _Ref485119358 \h </w:instrText>
      </w:r>
      <w:r>
        <w:fldChar w:fldCharType="separate"/>
      </w:r>
      <w:r w:rsidRPr="003529C2">
        <w:rPr>
          <w:rFonts w:cs="Times New Roman"/>
          <w:b/>
          <w:i/>
        </w:rPr>
        <w:t xml:space="preserve">Proposal </w:t>
      </w:r>
      <w:r>
        <w:rPr>
          <w:rFonts w:cs="Times New Roman"/>
          <w:b/>
          <w:i/>
          <w:noProof/>
        </w:rPr>
        <w:t>1</w:t>
      </w:r>
      <w:r w:rsidRPr="00EC1682">
        <w:rPr>
          <w:rFonts w:cs="Times New Roman"/>
          <w:b/>
          <w:i/>
        </w:rPr>
        <w:t>:</w:t>
      </w:r>
      <w:r w:rsidRPr="003529C2">
        <w:rPr>
          <w:rFonts w:cs="Times New Roman"/>
          <w:i/>
        </w:rPr>
        <w:t xml:space="preserve"> Intra-frequency </w:t>
      </w:r>
      <w:proofErr w:type="spellStart"/>
      <w:r w:rsidRPr="003529C2">
        <w:rPr>
          <w:rFonts w:cs="Times New Roman"/>
          <w:i/>
        </w:rPr>
        <w:t>neighbour</w:t>
      </w:r>
      <w:proofErr w:type="spellEnd"/>
      <w:r w:rsidRPr="003529C2">
        <w:rPr>
          <w:rFonts w:cs="Times New Roman"/>
          <w:i/>
        </w:rPr>
        <w:t xml:space="preserve"> (cell) measurements and inter-frequency </w:t>
      </w:r>
      <w:proofErr w:type="spellStart"/>
      <w:r w:rsidRPr="003529C2">
        <w:rPr>
          <w:rFonts w:cs="Times New Roman"/>
          <w:i/>
        </w:rPr>
        <w:t>neighbour</w:t>
      </w:r>
      <w:proofErr w:type="spellEnd"/>
      <w:r w:rsidRPr="003529C2">
        <w:rPr>
          <w:rFonts w:cs="Times New Roman"/>
          <w:i/>
        </w:rPr>
        <w:t xml:space="preserve"> (cell) measurements in NR are defined as follows:</w:t>
      </w:r>
      <w:r>
        <w:fldChar w:fldCharType="end"/>
      </w:r>
    </w:p>
    <w:p w14:paraId="77935CCC" w14:textId="77777777" w:rsidR="00B70BAA" w:rsidRPr="003529C2" w:rsidRDefault="00B70BAA" w:rsidP="00B70BAA">
      <w:pPr>
        <w:pStyle w:val="ListParagraph"/>
        <w:numPr>
          <w:ilvl w:val="0"/>
          <w:numId w:val="7"/>
        </w:numPr>
        <w:ind w:firstLineChars="0"/>
        <w:rPr>
          <w:rFonts w:cs="Times New Roman"/>
          <w:i/>
        </w:rPr>
      </w:pPr>
      <w:r w:rsidRPr="003529C2">
        <w:rPr>
          <w:rFonts w:cs="Times New Roman"/>
          <w:i/>
        </w:rPr>
        <w:t xml:space="preserve">Intra-frequency neighbour (cell) measurements: </w:t>
      </w:r>
      <w:r w:rsidRPr="003529C2">
        <w:rPr>
          <w:rFonts w:cs="Times New Roman"/>
          <w:i/>
          <w:lang w:eastAsia="ja-JP"/>
        </w:rPr>
        <w:t>Neighbour cell measurements performed by the UE are intra-frequency measurements when the current and target cell has at least one SS block transmi</w:t>
      </w:r>
      <w:r>
        <w:rPr>
          <w:rFonts w:cs="Times New Roman"/>
          <w:i/>
          <w:lang w:eastAsia="ja-JP"/>
        </w:rPr>
        <w:t>tted</w:t>
      </w:r>
      <w:r w:rsidRPr="003529C2">
        <w:rPr>
          <w:rFonts w:cs="Times New Roman"/>
          <w:i/>
          <w:lang w:eastAsia="ja-JP"/>
        </w:rPr>
        <w:t xml:space="preserve"> on the same carrier frequency.</w:t>
      </w:r>
    </w:p>
    <w:p w14:paraId="6B5BFCF6" w14:textId="77777777" w:rsidR="00B70BAA" w:rsidRPr="003529C2" w:rsidRDefault="00B70BAA" w:rsidP="00B70BAA">
      <w:pPr>
        <w:pStyle w:val="ListParagraph"/>
        <w:numPr>
          <w:ilvl w:val="0"/>
          <w:numId w:val="7"/>
        </w:numPr>
        <w:ind w:firstLineChars="0"/>
        <w:rPr>
          <w:rFonts w:cs="Times New Roman"/>
          <w:i/>
        </w:rPr>
      </w:pPr>
      <w:r w:rsidRPr="003529C2">
        <w:rPr>
          <w:rFonts w:cs="Times New Roman"/>
          <w:i/>
        </w:rPr>
        <w:t xml:space="preserve">Inter-frequency neighbour (cell) measurements: </w:t>
      </w:r>
      <w:r w:rsidRPr="003529C2">
        <w:rPr>
          <w:rFonts w:cs="Times New Roman"/>
          <w:i/>
          <w:lang w:eastAsia="ja-JP"/>
        </w:rPr>
        <w:t xml:space="preserve">Neighbour cell measurements performed by the UE are inter-frequency measurements when all the SS block(s) from neighbour cell is/are transmitted on </w:t>
      </w:r>
      <w:r>
        <w:rPr>
          <w:rFonts w:cs="Times New Roman"/>
          <w:i/>
          <w:lang w:eastAsia="ja-JP"/>
        </w:rPr>
        <w:t xml:space="preserve">the </w:t>
      </w:r>
      <w:r w:rsidRPr="003529C2">
        <w:rPr>
          <w:rFonts w:cs="Times New Roman"/>
          <w:i/>
          <w:lang w:eastAsia="ja-JP"/>
        </w:rPr>
        <w:t>different carrier frequency, compared to the current cell.</w:t>
      </w:r>
    </w:p>
    <w:p w14:paraId="2D302014" w14:textId="77777777" w:rsidR="0097202C" w:rsidRPr="00C560A6" w:rsidRDefault="0097202C" w:rsidP="0097202C">
      <w:pPr>
        <w:pStyle w:val="Heading1"/>
        <w:jc w:val="both"/>
        <w:rPr>
          <w:rFonts w:ascii="Arial" w:hAnsi="Arial" w:cs="Arial"/>
          <w:lang w:val="en-US"/>
        </w:rPr>
      </w:pPr>
      <w:r>
        <w:rPr>
          <w:rFonts w:ascii="Arial" w:hAnsi="Arial" w:cs="Arial"/>
          <w:lang w:val="en-US"/>
        </w:rPr>
        <w:t>Reference</w:t>
      </w:r>
    </w:p>
    <w:p w14:paraId="7F52215C" w14:textId="15638987" w:rsidR="002163AB" w:rsidRDefault="0097202C" w:rsidP="0097202C">
      <w:pPr>
        <w:pStyle w:val="Caption"/>
        <w:rPr>
          <w:rFonts w:ascii="Times New Roman" w:hAnsi="Times New Roman" w:cs="Times New Roman"/>
        </w:rPr>
      </w:pPr>
      <w:bookmarkStart w:id="8" w:name="_Ref480902077"/>
      <w:r w:rsidRPr="0073243D">
        <w:rPr>
          <w:rFonts w:ascii="Times New Roman" w:hAnsi="Times New Roman" w:cs="Times New Roman"/>
        </w:rPr>
        <w:t>[</w:t>
      </w:r>
      <w:r w:rsidRPr="0073243D">
        <w:rPr>
          <w:rFonts w:ascii="Times New Roman" w:hAnsi="Times New Roman" w:cs="Times New Roman"/>
        </w:rPr>
        <w:fldChar w:fldCharType="begin"/>
      </w:r>
      <w:r w:rsidRPr="0073243D">
        <w:rPr>
          <w:rFonts w:ascii="Times New Roman" w:hAnsi="Times New Roman" w:cs="Times New Roman"/>
        </w:rPr>
        <w:instrText xml:space="preserve"> SEQ reference \* ARABIC </w:instrText>
      </w:r>
      <w:r w:rsidRPr="0073243D">
        <w:rPr>
          <w:rFonts w:ascii="Times New Roman" w:hAnsi="Times New Roman" w:cs="Times New Roman"/>
        </w:rPr>
        <w:fldChar w:fldCharType="separate"/>
      </w:r>
      <w:r w:rsidR="008B4A77">
        <w:rPr>
          <w:rFonts w:ascii="Times New Roman" w:hAnsi="Times New Roman" w:cs="Times New Roman"/>
          <w:noProof/>
        </w:rPr>
        <w:t>1</w:t>
      </w:r>
      <w:r w:rsidRPr="0073243D">
        <w:rPr>
          <w:rFonts w:ascii="Times New Roman" w:hAnsi="Times New Roman" w:cs="Times New Roman"/>
        </w:rPr>
        <w:fldChar w:fldCharType="end"/>
      </w:r>
      <w:bookmarkEnd w:id="8"/>
      <w:r w:rsidRPr="0073243D">
        <w:rPr>
          <w:rFonts w:ascii="Times New Roman" w:hAnsi="Times New Roman" w:cs="Times New Roman"/>
        </w:rPr>
        <w:t xml:space="preserve">] </w:t>
      </w:r>
      <w:r w:rsidR="002163AB" w:rsidRPr="002163AB">
        <w:rPr>
          <w:rFonts w:ascii="Times New Roman" w:eastAsia="Gill Sans MT Pro Light" w:hAnsi="Times New Roman" w:cs="Times New Roman"/>
          <w:lang w:val="en-GB"/>
        </w:rPr>
        <w:t>R4-170</w:t>
      </w:r>
      <w:r w:rsidR="002163AB" w:rsidRPr="002163AB">
        <w:rPr>
          <w:rFonts w:ascii="Times New Roman" w:eastAsia="Gill Sans MT Pro Light" w:hAnsi="Times New Roman" w:cs="Times New Roman" w:hint="eastAsia"/>
          <w:lang w:val="en-GB"/>
        </w:rPr>
        <w:t>6314</w:t>
      </w:r>
      <w:r w:rsidR="002163AB" w:rsidRPr="002163AB">
        <w:rPr>
          <w:rFonts w:ascii="Times New Roman" w:eastAsia="Gill Sans MT Pro Light" w:hAnsi="Times New Roman" w:cs="Times New Roman"/>
          <w:lang w:val="en-GB"/>
        </w:rPr>
        <w:t>, “</w:t>
      </w:r>
      <w:r w:rsidR="002163AB" w:rsidRPr="002163AB">
        <w:rPr>
          <w:rFonts w:ascii="Times New Roman" w:eastAsia="Gill Sans MT Pro Light" w:hAnsi="Times New Roman" w:cs="Times New Roman" w:hint="eastAsia"/>
          <w:lang w:val="en-GB"/>
        </w:rPr>
        <w:t xml:space="preserve">NR RRM </w:t>
      </w:r>
      <w:bookmarkStart w:id="9" w:name="OLE_LINK10"/>
      <w:bookmarkStart w:id="10" w:name="OLE_LINK12"/>
      <w:r w:rsidR="002163AB" w:rsidRPr="002163AB">
        <w:rPr>
          <w:rFonts w:ascii="Times New Roman" w:eastAsia="Gill Sans MT Pro Light" w:hAnsi="Times New Roman" w:cs="Times New Roman" w:hint="eastAsia"/>
          <w:lang w:val="en-GB"/>
        </w:rPr>
        <w:t xml:space="preserve">ad hoc </w:t>
      </w:r>
      <w:bookmarkEnd w:id="9"/>
      <w:bookmarkEnd w:id="10"/>
      <w:r w:rsidR="002163AB" w:rsidRPr="002163AB">
        <w:rPr>
          <w:rFonts w:ascii="Times New Roman" w:eastAsia="Gill Sans MT Pro Light" w:hAnsi="Times New Roman" w:cs="Times New Roman" w:hint="eastAsia"/>
          <w:lang w:val="en-GB"/>
        </w:rPr>
        <w:t>minutes</w:t>
      </w:r>
      <w:r w:rsidR="002163AB" w:rsidRPr="002163AB">
        <w:rPr>
          <w:rFonts w:ascii="Times New Roman" w:eastAsia="Gill Sans MT Pro Light" w:hAnsi="Times New Roman" w:cs="Times New Roman"/>
          <w:lang w:val="en-GB"/>
        </w:rPr>
        <w:t xml:space="preserve">”, Huawei, </w:t>
      </w:r>
      <w:r w:rsidR="002163AB" w:rsidRPr="0073243D">
        <w:rPr>
          <w:rFonts w:ascii="Times New Roman" w:eastAsia="Gill Sans MT Pro Light" w:hAnsi="Times New Roman" w:cs="Times New Roman"/>
          <w:lang w:val="en-GB"/>
        </w:rPr>
        <w:t>R</w:t>
      </w:r>
      <w:r w:rsidR="002163AB">
        <w:rPr>
          <w:rFonts w:ascii="Times New Roman" w:eastAsia="Gill Sans MT Pro Light" w:hAnsi="Times New Roman" w:cs="Times New Roman"/>
          <w:lang w:val="en-GB"/>
        </w:rPr>
        <w:t>AN4#83</w:t>
      </w:r>
    </w:p>
    <w:p w14:paraId="2A4B7B81" w14:textId="5DFEF593" w:rsidR="0097202C" w:rsidRDefault="002163AB" w:rsidP="002163AB">
      <w:pPr>
        <w:pStyle w:val="Caption"/>
        <w:rPr>
          <w:rFonts w:ascii="Times New Roman" w:eastAsia="Gill Sans MT Pro Light" w:hAnsi="Times New Roman" w:cs="Times New Roman"/>
          <w:lang w:val="en-GB"/>
        </w:rPr>
      </w:pPr>
      <w:bookmarkStart w:id="11" w:name="_Ref484608811"/>
      <w:r>
        <w:rPr>
          <w:rFonts w:ascii="Times New Roman" w:eastAsia="Gill Sans MT Pro Light" w:hAnsi="Times New Roman" w:cs="Times New Roman"/>
          <w:lang w:val="en-GB"/>
        </w:rPr>
        <w:t>[</w:t>
      </w:r>
      <w:r>
        <w:rPr>
          <w:rFonts w:ascii="Times New Roman" w:eastAsia="Gill Sans MT Pro Light" w:hAnsi="Times New Roman" w:cs="Times New Roman"/>
          <w:lang w:val="en-GB"/>
        </w:rPr>
        <w:fldChar w:fldCharType="begin"/>
      </w:r>
      <w:r>
        <w:rPr>
          <w:rFonts w:ascii="Times New Roman" w:eastAsia="Gill Sans MT Pro Light" w:hAnsi="Times New Roman" w:cs="Times New Roman"/>
          <w:lang w:val="en-GB"/>
        </w:rPr>
        <w:instrText xml:space="preserve"> SEQ reference \* ARABIC </w:instrText>
      </w:r>
      <w:r>
        <w:rPr>
          <w:rFonts w:ascii="Times New Roman" w:eastAsia="Gill Sans MT Pro Light" w:hAnsi="Times New Roman" w:cs="Times New Roman"/>
          <w:lang w:val="en-GB"/>
        </w:rPr>
        <w:fldChar w:fldCharType="separate"/>
      </w:r>
      <w:r w:rsidR="008B4A77">
        <w:rPr>
          <w:rFonts w:ascii="Times New Roman" w:eastAsia="Gill Sans MT Pro Light" w:hAnsi="Times New Roman" w:cs="Times New Roman"/>
          <w:noProof/>
          <w:lang w:val="en-GB"/>
        </w:rPr>
        <w:t>2</w:t>
      </w:r>
      <w:r>
        <w:rPr>
          <w:rFonts w:ascii="Times New Roman" w:eastAsia="Gill Sans MT Pro Light" w:hAnsi="Times New Roman" w:cs="Times New Roman"/>
          <w:lang w:val="en-GB"/>
        </w:rPr>
        <w:fldChar w:fldCharType="end"/>
      </w:r>
      <w:bookmarkEnd w:id="11"/>
      <w:r>
        <w:rPr>
          <w:rFonts w:ascii="Times New Roman" w:eastAsia="Gill Sans MT Pro Light" w:hAnsi="Times New Roman" w:cs="Times New Roman"/>
          <w:lang w:val="en-GB"/>
        </w:rPr>
        <w:t xml:space="preserve">] </w:t>
      </w:r>
      <w:r w:rsidR="00123FE0" w:rsidRPr="00123FE0">
        <w:rPr>
          <w:rFonts w:ascii="Times New Roman" w:eastAsia="Gill Sans MT Pro Light" w:hAnsi="Times New Roman" w:cs="Times New Roman"/>
          <w:lang w:val="en-GB"/>
        </w:rPr>
        <w:t>R4-1704806</w:t>
      </w:r>
      <w:r w:rsidR="0097202C" w:rsidRPr="0073243D">
        <w:rPr>
          <w:rFonts w:ascii="Times New Roman" w:eastAsia="Gill Sans MT Pro Light" w:hAnsi="Times New Roman" w:cs="Times New Roman"/>
          <w:lang w:val="en-GB"/>
        </w:rPr>
        <w:t>, “</w:t>
      </w:r>
      <w:r w:rsidR="00123FE0" w:rsidRPr="00123FE0">
        <w:rPr>
          <w:rFonts w:ascii="Times New Roman" w:eastAsia="Gill Sans MT Pro Light" w:hAnsi="Times New Roman" w:cs="Times New Roman"/>
          <w:lang w:val="en-GB"/>
        </w:rPr>
        <w:t>NR RRM way forward</w:t>
      </w:r>
      <w:r w:rsidR="0097202C" w:rsidRPr="0073243D">
        <w:rPr>
          <w:rFonts w:ascii="Times New Roman" w:eastAsia="Gill Sans MT Pro Light" w:hAnsi="Times New Roman" w:cs="Times New Roman"/>
          <w:lang w:val="en-GB"/>
        </w:rPr>
        <w:t xml:space="preserve">”, </w:t>
      </w:r>
      <w:r w:rsidR="00123FE0" w:rsidRPr="00123FE0">
        <w:rPr>
          <w:rFonts w:ascii="Times New Roman" w:eastAsia="Gill Sans MT Pro Light" w:hAnsi="Times New Roman" w:cs="Times New Roman"/>
          <w:lang w:val="en-GB"/>
        </w:rPr>
        <w:t>Ericsson, Nokia, ZTE</w:t>
      </w:r>
      <w:bookmarkStart w:id="12" w:name="OLE_LINK1"/>
      <w:r w:rsidR="0097202C" w:rsidRPr="0073243D">
        <w:rPr>
          <w:rFonts w:ascii="Times New Roman" w:eastAsia="Gill Sans MT Pro Light" w:hAnsi="Times New Roman" w:cs="Times New Roman"/>
          <w:lang w:val="en-GB"/>
        </w:rPr>
        <w:t>, R</w:t>
      </w:r>
      <w:r w:rsidR="00123FE0">
        <w:rPr>
          <w:rFonts w:ascii="Times New Roman" w:eastAsia="Gill Sans MT Pro Light" w:hAnsi="Times New Roman" w:cs="Times New Roman"/>
          <w:lang w:val="en-GB"/>
        </w:rPr>
        <w:t>AN4#83</w:t>
      </w:r>
      <w:bookmarkEnd w:id="12"/>
    </w:p>
    <w:sectPr w:rsidR="0097202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ill Sans MT Pro Ligh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70764F"/>
    <w:multiLevelType w:val="hybridMultilevel"/>
    <w:tmpl w:val="F11C5A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F4B1E09"/>
    <w:multiLevelType w:val="hybridMultilevel"/>
    <w:tmpl w:val="F050E4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44F59F0"/>
    <w:multiLevelType w:val="multilevel"/>
    <w:tmpl w:val="B1F21226"/>
    <w:lvl w:ilvl="0">
      <w:start w:val="1"/>
      <w:numFmt w:val="decimal"/>
      <w:pStyle w:val="Heading1"/>
      <w:lvlText w:val="%1."/>
      <w:lvlJc w:val="left"/>
      <w:pPr>
        <w:tabs>
          <w:tab w:val="num" w:pos="432"/>
        </w:tabs>
        <w:ind w:left="432" w:hanging="432"/>
      </w:pPr>
      <w:rPr>
        <w:rFonts w:ascii="Arial" w:hAnsi="Arial" w:cs="Arial"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64E15FB5"/>
    <w:multiLevelType w:val="hybridMultilevel"/>
    <w:tmpl w:val="BE24F882"/>
    <w:lvl w:ilvl="0" w:tplc="04090001">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A4B7DFD"/>
    <w:multiLevelType w:val="hybridMultilevel"/>
    <w:tmpl w:val="43F8D246"/>
    <w:lvl w:ilvl="0" w:tplc="04090001">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E3E0DAF"/>
    <w:multiLevelType w:val="hybridMultilevel"/>
    <w:tmpl w:val="81540AD8"/>
    <w:lvl w:ilvl="0" w:tplc="592C4B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3FB30AC"/>
    <w:multiLevelType w:val="hybridMultilevel"/>
    <w:tmpl w:val="32E02DC2"/>
    <w:lvl w:ilvl="0" w:tplc="8DB863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DE64185"/>
    <w:multiLevelType w:val="hybridMultilevel"/>
    <w:tmpl w:val="ED16056A"/>
    <w:lvl w:ilvl="0" w:tplc="F260E3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5"/>
  </w:num>
  <w:num w:numId="3">
    <w:abstractNumId w:val="6"/>
  </w:num>
  <w:num w:numId="4">
    <w:abstractNumId w:val="7"/>
  </w:num>
  <w:num w:numId="5">
    <w:abstractNumId w:val="3"/>
  </w:num>
  <w:num w:numId="6">
    <w:abstractNumId w:val="1"/>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386"/>
    <w:rsid w:val="00001017"/>
    <w:rsid w:val="00002EF1"/>
    <w:rsid w:val="000076B8"/>
    <w:rsid w:val="00017B64"/>
    <w:rsid w:val="000352F3"/>
    <w:rsid w:val="000409C7"/>
    <w:rsid w:val="00041A0F"/>
    <w:rsid w:val="00043F0E"/>
    <w:rsid w:val="0005452B"/>
    <w:rsid w:val="00063578"/>
    <w:rsid w:val="00084262"/>
    <w:rsid w:val="00085D33"/>
    <w:rsid w:val="00097144"/>
    <w:rsid w:val="000B3686"/>
    <w:rsid w:val="000C56D9"/>
    <w:rsid w:val="000D26E2"/>
    <w:rsid w:val="000D45B0"/>
    <w:rsid w:val="000D6332"/>
    <w:rsid w:val="000E1B11"/>
    <w:rsid w:val="000E2F9D"/>
    <w:rsid w:val="00117F7D"/>
    <w:rsid w:val="00123FE0"/>
    <w:rsid w:val="00125A18"/>
    <w:rsid w:val="00133AB1"/>
    <w:rsid w:val="00164389"/>
    <w:rsid w:val="00170484"/>
    <w:rsid w:val="00175E9E"/>
    <w:rsid w:val="0018440A"/>
    <w:rsid w:val="001B3B8B"/>
    <w:rsid w:val="001D2CCB"/>
    <w:rsid w:val="001E48BD"/>
    <w:rsid w:val="002011E5"/>
    <w:rsid w:val="00215790"/>
    <w:rsid w:val="002163AB"/>
    <w:rsid w:val="00217595"/>
    <w:rsid w:val="00234F2D"/>
    <w:rsid w:val="00246B53"/>
    <w:rsid w:val="002530FF"/>
    <w:rsid w:val="00267644"/>
    <w:rsid w:val="00270CF9"/>
    <w:rsid w:val="0028095F"/>
    <w:rsid w:val="002A20DA"/>
    <w:rsid w:val="002B16F5"/>
    <w:rsid w:val="002C4CC6"/>
    <w:rsid w:val="002D0602"/>
    <w:rsid w:val="002D3F03"/>
    <w:rsid w:val="002E61AA"/>
    <w:rsid w:val="002F6965"/>
    <w:rsid w:val="003011B0"/>
    <w:rsid w:val="0030465C"/>
    <w:rsid w:val="00352868"/>
    <w:rsid w:val="003529C2"/>
    <w:rsid w:val="00361035"/>
    <w:rsid w:val="003735C4"/>
    <w:rsid w:val="003750F3"/>
    <w:rsid w:val="00393654"/>
    <w:rsid w:val="003C5B1E"/>
    <w:rsid w:val="003D0C9C"/>
    <w:rsid w:val="003D5A4B"/>
    <w:rsid w:val="003E30D3"/>
    <w:rsid w:val="004157F0"/>
    <w:rsid w:val="00422E8C"/>
    <w:rsid w:val="00435DC8"/>
    <w:rsid w:val="00447F76"/>
    <w:rsid w:val="00453D3B"/>
    <w:rsid w:val="00477795"/>
    <w:rsid w:val="004800A7"/>
    <w:rsid w:val="00492BF4"/>
    <w:rsid w:val="004A47AD"/>
    <w:rsid w:val="004D27AC"/>
    <w:rsid w:val="004D4D5B"/>
    <w:rsid w:val="004F3ABB"/>
    <w:rsid w:val="005063D2"/>
    <w:rsid w:val="00524241"/>
    <w:rsid w:val="00530104"/>
    <w:rsid w:val="005311F2"/>
    <w:rsid w:val="005327E3"/>
    <w:rsid w:val="00537FFE"/>
    <w:rsid w:val="00563C49"/>
    <w:rsid w:val="0058233B"/>
    <w:rsid w:val="00590859"/>
    <w:rsid w:val="005A4077"/>
    <w:rsid w:val="005B0495"/>
    <w:rsid w:val="005C0923"/>
    <w:rsid w:val="005D574A"/>
    <w:rsid w:val="006060C2"/>
    <w:rsid w:val="006277FC"/>
    <w:rsid w:val="00642E62"/>
    <w:rsid w:val="00667627"/>
    <w:rsid w:val="006804AE"/>
    <w:rsid w:val="00695A2B"/>
    <w:rsid w:val="006A2C43"/>
    <w:rsid w:val="006B6A70"/>
    <w:rsid w:val="006C1376"/>
    <w:rsid w:val="006C7AFE"/>
    <w:rsid w:val="006D726A"/>
    <w:rsid w:val="006E5AAD"/>
    <w:rsid w:val="006F1638"/>
    <w:rsid w:val="00706968"/>
    <w:rsid w:val="0073243D"/>
    <w:rsid w:val="00736C2B"/>
    <w:rsid w:val="007378E2"/>
    <w:rsid w:val="00774FBD"/>
    <w:rsid w:val="00776964"/>
    <w:rsid w:val="007B73F9"/>
    <w:rsid w:val="007C7A3F"/>
    <w:rsid w:val="007F037B"/>
    <w:rsid w:val="007F6AED"/>
    <w:rsid w:val="00826188"/>
    <w:rsid w:val="008416CC"/>
    <w:rsid w:val="00853A72"/>
    <w:rsid w:val="008613D8"/>
    <w:rsid w:val="00862D04"/>
    <w:rsid w:val="008637A6"/>
    <w:rsid w:val="0087194D"/>
    <w:rsid w:val="0087271F"/>
    <w:rsid w:val="0088280E"/>
    <w:rsid w:val="00887324"/>
    <w:rsid w:val="00895110"/>
    <w:rsid w:val="008A2768"/>
    <w:rsid w:val="008A4A6F"/>
    <w:rsid w:val="008B4A77"/>
    <w:rsid w:val="008C1233"/>
    <w:rsid w:val="008D5776"/>
    <w:rsid w:val="0093237B"/>
    <w:rsid w:val="009558F6"/>
    <w:rsid w:val="009630B9"/>
    <w:rsid w:val="0097202C"/>
    <w:rsid w:val="009A679B"/>
    <w:rsid w:val="009B2123"/>
    <w:rsid w:val="009B75D6"/>
    <w:rsid w:val="009C168A"/>
    <w:rsid w:val="009C6267"/>
    <w:rsid w:val="009E0210"/>
    <w:rsid w:val="009E11E0"/>
    <w:rsid w:val="00A3314E"/>
    <w:rsid w:val="00A6291E"/>
    <w:rsid w:val="00A74A58"/>
    <w:rsid w:val="00A77E45"/>
    <w:rsid w:val="00AA30EC"/>
    <w:rsid w:val="00AA6628"/>
    <w:rsid w:val="00AA7266"/>
    <w:rsid w:val="00AA7FF0"/>
    <w:rsid w:val="00AB52D2"/>
    <w:rsid w:val="00AC251D"/>
    <w:rsid w:val="00AC7095"/>
    <w:rsid w:val="00AE1931"/>
    <w:rsid w:val="00AF179D"/>
    <w:rsid w:val="00B05CD3"/>
    <w:rsid w:val="00B20AE6"/>
    <w:rsid w:val="00B239DC"/>
    <w:rsid w:val="00B26BE7"/>
    <w:rsid w:val="00B36D56"/>
    <w:rsid w:val="00B42E84"/>
    <w:rsid w:val="00B54DAF"/>
    <w:rsid w:val="00B63728"/>
    <w:rsid w:val="00B70BAA"/>
    <w:rsid w:val="00B86978"/>
    <w:rsid w:val="00BD2618"/>
    <w:rsid w:val="00BD7458"/>
    <w:rsid w:val="00BE6AF1"/>
    <w:rsid w:val="00C05BB8"/>
    <w:rsid w:val="00C10224"/>
    <w:rsid w:val="00C12438"/>
    <w:rsid w:val="00C34746"/>
    <w:rsid w:val="00C446D3"/>
    <w:rsid w:val="00C62131"/>
    <w:rsid w:val="00C77A09"/>
    <w:rsid w:val="00C81E8E"/>
    <w:rsid w:val="00C92EB2"/>
    <w:rsid w:val="00C958EF"/>
    <w:rsid w:val="00C978D5"/>
    <w:rsid w:val="00CA413F"/>
    <w:rsid w:val="00CD1386"/>
    <w:rsid w:val="00CE5B31"/>
    <w:rsid w:val="00CE7A41"/>
    <w:rsid w:val="00D00FB8"/>
    <w:rsid w:val="00D101AC"/>
    <w:rsid w:val="00D10DA4"/>
    <w:rsid w:val="00D12BEB"/>
    <w:rsid w:val="00D17E52"/>
    <w:rsid w:val="00D20A38"/>
    <w:rsid w:val="00D230CE"/>
    <w:rsid w:val="00D35D79"/>
    <w:rsid w:val="00D44B54"/>
    <w:rsid w:val="00D63219"/>
    <w:rsid w:val="00D67E60"/>
    <w:rsid w:val="00D747E3"/>
    <w:rsid w:val="00D76B53"/>
    <w:rsid w:val="00D87779"/>
    <w:rsid w:val="00DB11A2"/>
    <w:rsid w:val="00DB2A5F"/>
    <w:rsid w:val="00DB3B25"/>
    <w:rsid w:val="00DB52B1"/>
    <w:rsid w:val="00DC37BE"/>
    <w:rsid w:val="00DD1A54"/>
    <w:rsid w:val="00DD1CA0"/>
    <w:rsid w:val="00DE2A5A"/>
    <w:rsid w:val="00DE79BE"/>
    <w:rsid w:val="00DF12E9"/>
    <w:rsid w:val="00DF1B32"/>
    <w:rsid w:val="00E025C7"/>
    <w:rsid w:val="00E1176E"/>
    <w:rsid w:val="00E11DFD"/>
    <w:rsid w:val="00E3348C"/>
    <w:rsid w:val="00E445FA"/>
    <w:rsid w:val="00E51815"/>
    <w:rsid w:val="00E611EA"/>
    <w:rsid w:val="00E65B10"/>
    <w:rsid w:val="00EA2276"/>
    <w:rsid w:val="00EC1682"/>
    <w:rsid w:val="00ED2DE9"/>
    <w:rsid w:val="00F04685"/>
    <w:rsid w:val="00F22F60"/>
    <w:rsid w:val="00F25AD9"/>
    <w:rsid w:val="00F516F2"/>
    <w:rsid w:val="00F71CDE"/>
    <w:rsid w:val="00F81273"/>
    <w:rsid w:val="00F84636"/>
    <w:rsid w:val="00F952AE"/>
    <w:rsid w:val="00F958A6"/>
    <w:rsid w:val="00FA3522"/>
    <w:rsid w:val="00FB3429"/>
    <w:rsid w:val="00FD3CD4"/>
    <w:rsid w:val="00FE0740"/>
    <w:rsid w:val="00FE70DC"/>
    <w:rsid w:val="00FF5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38B8E"/>
  <w15:chartTrackingRefBased/>
  <w15:docId w15:val="{DF2A5158-3F06-4E80-8553-76144F9F0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黑体" w:hAnsi="Times New Roman" w:cstheme="maj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4A6F"/>
    <w:pPr>
      <w:spacing w:after="180"/>
    </w:pPr>
  </w:style>
  <w:style w:type="paragraph" w:styleId="Heading1">
    <w:name w:val="heading 1"/>
    <w:aliases w:val="H1,Memo Heading 1,h1 + 11 pt,Before:  6 pt,After:  0 pt"/>
    <w:next w:val="Normal"/>
    <w:link w:val="Heading1Char"/>
    <w:qFormat/>
    <w:rsid w:val="00C81E8E"/>
    <w:pPr>
      <w:keepNext/>
      <w:keepLines/>
      <w:numPr>
        <w:numId w:val="1"/>
      </w:numPr>
      <w:pBdr>
        <w:top w:val="single" w:sz="12" w:space="3" w:color="auto"/>
      </w:pBdr>
      <w:spacing w:before="240" w:after="180"/>
      <w:outlineLvl w:val="0"/>
    </w:pPr>
    <w:rPr>
      <w:rFonts w:ascii="Wingdings" w:eastAsia="Cambria Math" w:hAnsi="Wingdings"/>
      <w:sz w:val="36"/>
      <w:lang w:val="en-GB" w:eastAsia="en-US"/>
    </w:rPr>
  </w:style>
  <w:style w:type="paragraph" w:styleId="Heading2">
    <w:name w:val="heading 2"/>
    <w:basedOn w:val="Heading1"/>
    <w:next w:val="Normal"/>
    <w:link w:val="Heading2Char"/>
    <w:qFormat/>
    <w:rsid w:val="00F25AD9"/>
    <w:pPr>
      <w:numPr>
        <w:ilvl w:val="1"/>
      </w:numPr>
      <w:pBdr>
        <w:top w:val="none" w:sz="0" w:space="0" w:color="auto"/>
      </w:pBdr>
      <w:spacing w:before="180"/>
      <w:outlineLvl w:val="1"/>
    </w:pPr>
    <w:rPr>
      <w:rFonts w:ascii="Arial" w:eastAsia="Arial" w:hAnsi="Arial"/>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C81E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C81E8E"/>
    <w:pPr>
      <w:numPr>
        <w:ilvl w:val="3"/>
      </w:numPr>
      <w:outlineLvl w:val="3"/>
    </w:pPr>
    <w:rPr>
      <w:sz w:val="24"/>
    </w:rPr>
  </w:style>
  <w:style w:type="paragraph" w:styleId="Heading5">
    <w:name w:val="heading 5"/>
    <w:aliases w:val="h5,Heading5"/>
    <w:basedOn w:val="Heading4"/>
    <w:next w:val="Normal"/>
    <w:link w:val="Heading5Char"/>
    <w:qFormat/>
    <w:rsid w:val="00C81E8E"/>
    <w:pPr>
      <w:numPr>
        <w:ilvl w:val="5"/>
      </w:numPr>
      <w:outlineLvl w:val="4"/>
    </w:pPr>
    <w:rPr>
      <w:sz w:val="22"/>
    </w:rPr>
  </w:style>
  <w:style w:type="paragraph" w:styleId="Heading7">
    <w:name w:val="heading 7"/>
    <w:basedOn w:val="Normal"/>
    <w:next w:val="Normal"/>
    <w:link w:val="Heading7Char"/>
    <w:qFormat/>
    <w:rsid w:val="00C81E8E"/>
    <w:pPr>
      <w:keepNext/>
      <w:keepLines/>
      <w:numPr>
        <w:ilvl w:val="6"/>
        <w:numId w:val="1"/>
      </w:numPr>
      <w:spacing w:before="120"/>
      <w:outlineLvl w:val="6"/>
    </w:pPr>
    <w:rPr>
      <w:rFonts w:ascii="Wingdings" w:eastAsia="Cambria Math" w:hAnsi="Wingdings"/>
      <w:lang w:val="en-GB" w:eastAsia="en-US"/>
    </w:rPr>
  </w:style>
  <w:style w:type="paragraph" w:styleId="Heading8">
    <w:name w:val="heading 8"/>
    <w:basedOn w:val="Heading1"/>
    <w:next w:val="Normal"/>
    <w:link w:val="Heading8Char"/>
    <w:qFormat/>
    <w:rsid w:val="00C81E8E"/>
    <w:pPr>
      <w:numPr>
        <w:ilvl w:val="7"/>
      </w:numPr>
      <w:outlineLvl w:val="7"/>
    </w:pPr>
  </w:style>
  <w:style w:type="paragraph" w:styleId="Heading9">
    <w:name w:val="heading 9"/>
    <w:basedOn w:val="Heading8"/>
    <w:next w:val="Normal"/>
    <w:link w:val="Heading9Char"/>
    <w:qFormat/>
    <w:rsid w:val="00C81E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A4A6F"/>
    <w:pPr>
      <w:widowControl w:val="0"/>
    </w:pPr>
    <w:rPr>
      <w:rFonts w:ascii="Wingdings" w:hAnsi="Wingdings"/>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A4A6F"/>
    <w:rPr>
      <w:rFonts w:ascii="Wingdings" w:eastAsia="宋体" w:hAnsi="Wingdings" w:cs="Wingdings"/>
      <w:b/>
      <w:noProof/>
      <w:sz w:val="18"/>
    </w:rPr>
  </w:style>
  <w:style w:type="paragraph" w:styleId="Footer">
    <w:name w:val="footer"/>
    <w:basedOn w:val="Header"/>
    <w:link w:val="FooterChar"/>
    <w:rsid w:val="008A4A6F"/>
    <w:pPr>
      <w:jc w:val="center"/>
    </w:pPr>
    <w:rPr>
      <w:i/>
    </w:rPr>
  </w:style>
  <w:style w:type="character" w:customStyle="1" w:styleId="FooterChar">
    <w:name w:val="Footer Char"/>
    <w:basedOn w:val="DefaultParagraphFont"/>
    <w:link w:val="Footer"/>
    <w:rsid w:val="008A4A6F"/>
    <w:rPr>
      <w:rFonts w:ascii="Wingdings" w:eastAsia="宋体" w:hAnsi="Wingdings" w:cs="Wingdings"/>
      <w:b/>
      <w:i/>
      <w:noProof/>
      <w:sz w:val="18"/>
    </w:rPr>
  </w:style>
  <w:style w:type="paragraph" w:customStyle="1" w:styleId="CRCoverPage">
    <w:name w:val="CR Cover Page"/>
    <w:rsid w:val="008A4A6F"/>
    <w:pPr>
      <w:spacing w:after="120"/>
    </w:pPr>
    <w:rPr>
      <w:rFonts w:ascii="Wingdings" w:hAnsi="Wingdings"/>
      <w:lang w:val="en-GB" w:eastAsia="en-US"/>
    </w:rPr>
  </w:style>
  <w:style w:type="character" w:customStyle="1" w:styleId="Heading1Char">
    <w:name w:val="Heading 1 Char"/>
    <w:aliases w:val="H1 Char,Memo Heading 1 Char,h1 + 11 pt Char,Before:  6 pt Char,After:  0 pt Char"/>
    <w:basedOn w:val="DefaultParagraphFont"/>
    <w:link w:val="Heading1"/>
    <w:rsid w:val="00C81E8E"/>
    <w:rPr>
      <w:rFonts w:ascii="Wingdings" w:eastAsia="Cambria Math" w:hAnsi="Wingdings" w:cs="Wingdings"/>
      <w:sz w:val="36"/>
      <w:lang w:val="en-GB" w:eastAsia="en-US"/>
    </w:rPr>
  </w:style>
  <w:style w:type="character" w:customStyle="1" w:styleId="Heading2Char">
    <w:name w:val="Heading 2 Char"/>
    <w:basedOn w:val="DefaultParagraphFont"/>
    <w:link w:val="Heading2"/>
    <w:rsid w:val="00F25AD9"/>
    <w:rPr>
      <w:rFonts w:ascii="Arial" w:eastAsia="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C81E8E"/>
    <w:rPr>
      <w:rFonts w:ascii="Wingdings" w:eastAsia="Cambria Math" w:hAnsi="Wingdings" w:cs="Wingdings"/>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81E8E"/>
    <w:rPr>
      <w:rFonts w:ascii="Wingdings" w:eastAsia="Cambria Math" w:hAnsi="Wingdings" w:cs="Wingdings"/>
      <w:sz w:val="24"/>
      <w:lang w:val="en-GB" w:eastAsia="en-US"/>
    </w:rPr>
  </w:style>
  <w:style w:type="character" w:customStyle="1" w:styleId="Heading5Char">
    <w:name w:val="Heading 5 Char"/>
    <w:aliases w:val="h5 Char,Heading5 Char"/>
    <w:basedOn w:val="DefaultParagraphFont"/>
    <w:link w:val="Heading5"/>
    <w:rsid w:val="00C81E8E"/>
    <w:rPr>
      <w:rFonts w:ascii="Wingdings" w:eastAsia="Cambria Math" w:hAnsi="Wingdings" w:cs="Wingdings"/>
      <w:sz w:val="22"/>
      <w:lang w:val="en-GB" w:eastAsia="en-US"/>
    </w:rPr>
  </w:style>
  <w:style w:type="character" w:customStyle="1" w:styleId="Heading7Char">
    <w:name w:val="Heading 7 Char"/>
    <w:basedOn w:val="DefaultParagraphFont"/>
    <w:link w:val="Heading7"/>
    <w:rsid w:val="00C81E8E"/>
    <w:rPr>
      <w:rFonts w:ascii="Wingdings" w:eastAsia="Cambria Math" w:hAnsi="Wingdings" w:cs="Wingdings"/>
      <w:lang w:val="en-GB" w:eastAsia="en-US"/>
    </w:rPr>
  </w:style>
  <w:style w:type="character" w:customStyle="1" w:styleId="Heading8Char">
    <w:name w:val="Heading 8 Char"/>
    <w:basedOn w:val="DefaultParagraphFont"/>
    <w:link w:val="Heading8"/>
    <w:rsid w:val="00C81E8E"/>
    <w:rPr>
      <w:rFonts w:ascii="Wingdings" w:eastAsia="Cambria Math" w:hAnsi="Wingdings" w:cs="Wingdings"/>
      <w:sz w:val="36"/>
      <w:lang w:val="en-GB" w:eastAsia="en-US"/>
    </w:rPr>
  </w:style>
  <w:style w:type="character" w:customStyle="1" w:styleId="Heading9Char">
    <w:name w:val="Heading 9 Char"/>
    <w:basedOn w:val="DefaultParagraphFont"/>
    <w:link w:val="Heading9"/>
    <w:rsid w:val="00C81E8E"/>
    <w:rPr>
      <w:rFonts w:ascii="Wingdings" w:eastAsia="Cambria Math" w:hAnsi="Wingdings" w:cs="Wingdings"/>
      <w:sz w:val="36"/>
      <w:lang w:val="en-GB" w:eastAsia="en-US"/>
    </w:rPr>
  </w:style>
  <w:style w:type="paragraph" w:customStyle="1" w:styleId="TAC">
    <w:name w:val="TAC"/>
    <w:basedOn w:val="Normal"/>
    <w:link w:val="TACChar"/>
    <w:rsid w:val="0097202C"/>
    <w:pPr>
      <w:keepNext/>
      <w:keepLines/>
      <w:overflowPunct w:val="0"/>
      <w:autoSpaceDE w:val="0"/>
      <w:autoSpaceDN w:val="0"/>
      <w:adjustRightInd w:val="0"/>
      <w:spacing w:after="0"/>
      <w:jc w:val="center"/>
      <w:textAlignment w:val="baseline"/>
    </w:pPr>
    <w:rPr>
      <w:rFonts w:ascii="Arial" w:eastAsia="Times New Roman" w:hAnsi="Arial" w:cs="Times New Roman"/>
      <w:sz w:val="18"/>
      <w:lang w:val="en-GB" w:eastAsia="x-none"/>
    </w:rPr>
  </w:style>
  <w:style w:type="character" w:customStyle="1" w:styleId="TACChar">
    <w:name w:val="TAC Char"/>
    <w:link w:val="TAC"/>
    <w:rsid w:val="0097202C"/>
    <w:rPr>
      <w:rFonts w:ascii="Arial" w:eastAsia="Times New Roman" w:hAnsi="Arial" w:cs="Times New Roman"/>
      <w:sz w:val="18"/>
      <w:lang w:val="en-GB" w:eastAsia="x-none"/>
    </w:rPr>
  </w:style>
  <w:style w:type="paragraph" w:customStyle="1" w:styleId="TH">
    <w:name w:val="TH"/>
    <w:basedOn w:val="Normal"/>
    <w:link w:val="THChar"/>
    <w:rsid w:val="0097202C"/>
    <w:pPr>
      <w:keepNext/>
      <w:keepLines/>
      <w:overflowPunct w:val="0"/>
      <w:autoSpaceDE w:val="0"/>
      <w:autoSpaceDN w:val="0"/>
      <w:adjustRightInd w:val="0"/>
      <w:spacing w:before="60"/>
      <w:jc w:val="center"/>
      <w:textAlignment w:val="baseline"/>
    </w:pPr>
    <w:rPr>
      <w:rFonts w:ascii="Arial" w:eastAsia="Times New Roman" w:hAnsi="Arial" w:cs="Times New Roman"/>
      <w:b/>
      <w:lang w:val="en-GB" w:eastAsia="x-none"/>
    </w:rPr>
  </w:style>
  <w:style w:type="character" w:customStyle="1" w:styleId="THChar">
    <w:name w:val="TH Char"/>
    <w:link w:val="TH"/>
    <w:rsid w:val="0097202C"/>
    <w:rPr>
      <w:rFonts w:ascii="Arial" w:eastAsia="Times New Roman" w:hAnsi="Arial" w:cs="Times New Roman"/>
      <w:b/>
      <w:lang w:val="en-GB" w:eastAsia="x-none"/>
    </w:rPr>
  </w:style>
  <w:style w:type="paragraph" w:customStyle="1" w:styleId="TAH">
    <w:name w:val="TAH"/>
    <w:basedOn w:val="TAC"/>
    <w:link w:val="TAHCar"/>
    <w:rsid w:val="0097202C"/>
    <w:rPr>
      <w:b/>
    </w:rPr>
  </w:style>
  <w:style w:type="character" w:customStyle="1" w:styleId="TAHCar">
    <w:name w:val="TAH Car"/>
    <w:link w:val="TAH"/>
    <w:rsid w:val="0097202C"/>
    <w:rPr>
      <w:rFonts w:ascii="Arial" w:eastAsia="Times New Roman" w:hAnsi="Arial" w:cs="Times New Roman"/>
      <w:b/>
      <w:sz w:val="18"/>
      <w:lang w:val="en-GB" w:eastAsia="x-none"/>
    </w:rPr>
  </w:style>
  <w:style w:type="paragraph" w:styleId="Caption">
    <w:name w:val="caption"/>
    <w:basedOn w:val="Normal"/>
    <w:next w:val="Normal"/>
    <w:uiPriority w:val="35"/>
    <w:unhideWhenUsed/>
    <w:qFormat/>
    <w:rsid w:val="0097202C"/>
    <w:rPr>
      <w:rFonts w:asciiTheme="majorHAnsi" w:hAnsiTheme="majorHAnsi"/>
    </w:rPr>
  </w:style>
  <w:style w:type="character" w:styleId="CommentReference">
    <w:name w:val="annotation reference"/>
    <w:basedOn w:val="DefaultParagraphFont"/>
    <w:uiPriority w:val="99"/>
    <w:semiHidden/>
    <w:unhideWhenUsed/>
    <w:rsid w:val="00477795"/>
    <w:rPr>
      <w:sz w:val="21"/>
      <w:szCs w:val="21"/>
    </w:rPr>
  </w:style>
  <w:style w:type="paragraph" w:styleId="CommentText">
    <w:name w:val="annotation text"/>
    <w:basedOn w:val="Normal"/>
    <w:link w:val="CommentTextChar"/>
    <w:uiPriority w:val="99"/>
    <w:semiHidden/>
    <w:unhideWhenUsed/>
    <w:rsid w:val="00477795"/>
  </w:style>
  <w:style w:type="character" w:customStyle="1" w:styleId="CommentTextChar">
    <w:name w:val="Comment Text Char"/>
    <w:basedOn w:val="DefaultParagraphFont"/>
    <w:link w:val="CommentText"/>
    <w:uiPriority w:val="99"/>
    <w:semiHidden/>
    <w:rsid w:val="00477795"/>
  </w:style>
  <w:style w:type="paragraph" w:styleId="CommentSubject">
    <w:name w:val="annotation subject"/>
    <w:basedOn w:val="CommentText"/>
    <w:next w:val="CommentText"/>
    <w:link w:val="CommentSubjectChar"/>
    <w:uiPriority w:val="99"/>
    <w:semiHidden/>
    <w:unhideWhenUsed/>
    <w:rsid w:val="00477795"/>
    <w:rPr>
      <w:b/>
      <w:bCs/>
    </w:rPr>
  </w:style>
  <w:style w:type="character" w:customStyle="1" w:styleId="CommentSubjectChar">
    <w:name w:val="Comment Subject Char"/>
    <w:basedOn w:val="CommentTextChar"/>
    <w:link w:val="CommentSubject"/>
    <w:uiPriority w:val="99"/>
    <w:semiHidden/>
    <w:rsid w:val="00477795"/>
    <w:rPr>
      <w:b/>
      <w:bCs/>
    </w:rPr>
  </w:style>
  <w:style w:type="paragraph" w:styleId="BalloonText">
    <w:name w:val="Balloon Text"/>
    <w:basedOn w:val="Normal"/>
    <w:link w:val="BalloonTextChar"/>
    <w:uiPriority w:val="99"/>
    <w:semiHidden/>
    <w:unhideWhenUsed/>
    <w:rsid w:val="00477795"/>
    <w:pPr>
      <w:spacing w:after="0"/>
    </w:pPr>
    <w:rPr>
      <w:sz w:val="18"/>
      <w:szCs w:val="18"/>
    </w:rPr>
  </w:style>
  <w:style w:type="character" w:customStyle="1" w:styleId="BalloonTextChar">
    <w:name w:val="Balloon Text Char"/>
    <w:basedOn w:val="DefaultParagraphFont"/>
    <w:link w:val="BalloonText"/>
    <w:uiPriority w:val="99"/>
    <w:semiHidden/>
    <w:rsid w:val="00477795"/>
    <w:rPr>
      <w:sz w:val="18"/>
      <w:szCs w:val="18"/>
    </w:rPr>
  </w:style>
  <w:style w:type="paragraph" w:styleId="ListParagraph">
    <w:name w:val="List Paragraph"/>
    <w:basedOn w:val="Normal"/>
    <w:link w:val="ListParagraphChar"/>
    <w:uiPriority w:val="34"/>
    <w:qFormat/>
    <w:rsid w:val="009A679B"/>
    <w:pPr>
      <w:ind w:firstLineChars="200" w:firstLine="420"/>
    </w:pPr>
  </w:style>
  <w:style w:type="table" w:styleId="TableGrid">
    <w:name w:val="Table Grid"/>
    <w:basedOn w:val="TableNormal"/>
    <w:uiPriority w:val="39"/>
    <w:rsid w:val="002163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rsid w:val="003E30D3"/>
    <w:pPr>
      <w:keepNext w:val="0"/>
      <w:overflowPunct/>
      <w:autoSpaceDE/>
      <w:autoSpaceDN/>
      <w:adjustRightInd/>
      <w:spacing w:before="0" w:after="240"/>
      <w:textAlignment w:val="auto"/>
    </w:pPr>
    <w:rPr>
      <w:rFonts w:eastAsia="MS Mincho"/>
      <w:lang w:eastAsia="en-US"/>
    </w:rPr>
  </w:style>
  <w:style w:type="character" w:customStyle="1" w:styleId="TFChar">
    <w:name w:val="TF Char"/>
    <w:basedOn w:val="DefaultParagraphFont"/>
    <w:link w:val="TF"/>
    <w:rsid w:val="003E30D3"/>
    <w:rPr>
      <w:rFonts w:ascii="Arial" w:eastAsia="MS Mincho" w:hAnsi="Arial" w:cs="Times New Roman"/>
      <w:b/>
      <w:lang w:val="en-GB" w:eastAsia="en-US"/>
    </w:rPr>
  </w:style>
  <w:style w:type="paragraph" w:customStyle="1" w:styleId="B1">
    <w:name w:val="B1"/>
    <w:basedOn w:val="List"/>
    <w:link w:val="B1Zchn"/>
    <w:rsid w:val="00DB3B25"/>
    <w:pPr>
      <w:ind w:left="568" w:firstLineChars="0" w:hanging="284"/>
      <w:contextualSpacing w:val="0"/>
    </w:pPr>
    <w:rPr>
      <w:rFonts w:eastAsia="MS Mincho" w:cs="Times New Roman"/>
      <w:lang w:val="en-GB" w:eastAsia="en-US"/>
    </w:rPr>
  </w:style>
  <w:style w:type="character" w:customStyle="1" w:styleId="B1Zchn">
    <w:name w:val="B1 Zchn"/>
    <w:basedOn w:val="DefaultParagraphFont"/>
    <w:link w:val="B1"/>
    <w:rsid w:val="00DB3B25"/>
    <w:rPr>
      <w:rFonts w:eastAsia="MS Mincho" w:cs="Times New Roman"/>
      <w:lang w:val="en-GB" w:eastAsia="en-US"/>
    </w:rPr>
  </w:style>
  <w:style w:type="paragraph" w:styleId="List">
    <w:name w:val="List"/>
    <w:basedOn w:val="Normal"/>
    <w:uiPriority w:val="99"/>
    <w:semiHidden/>
    <w:unhideWhenUsed/>
    <w:rsid w:val="00DB3B25"/>
    <w:pPr>
      <w:ind w:left="200" w:hangingChars="200" w:hanging="200"/>
      <w:contextualSpacing/>
    </w:pPr>
  </w:style>
  <w:style w:type="character" w:customStyle="1" w:styleId="ListParagraphChar">
    <w:name w:val="List Paragraph Char"/>
    <w:link w:val="ListParagraph"/>
    <w:uiPriority w:val="34"/>
    <w:locked/>
    <w:rsid w:val="000010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164840">
      <w:bodyDiv w:val="1"/>
      <w:marLeft w:val="0"/>
      <w:marRight w:val="0"/>
      <w:marTop w:val="0"/>
      <w:marBottom w:val="0"/>
      <w:divBdr>
        <w:top w:val="none" w:sz="0" w:space="0" w:color="auto"/>
        <w:left w:val="none" w:sz="0" w:space="0" w:color="auto"/>
        <w:bottom w:val="none" w:sz="0" w:space="0" w:color="auto"/>
        <w:right w:val="none" w:sz="0" w:space="0" w:color="auto"/>
      </w:divBdr>
    </w:div>
    <w:div w:id="970477681">
      <w:bodyDiv w:val="1"/>
      <w:marLeft w:val="0"/>
      <w:marRight w:val="0"/>
      <w:marTop w:val="0"/>
      <w:marBottom w:val="0"/>
      <w:divBdr>
        <w:top w:val="none" w:sz="0" w:space="0" w:color="auto"/>
        <w:left w:val="none" w:sz="0" w:space="0" w:color="auto"/>
        <w:bottom w:val="none" w:sz="0" w:space="0" w:color="auto"/>
        <w:right w:val="none" w:sz="0" w:space="0" w:color="auto"/>
      </w:divBdr>
    </w:div>
    <w:div w:id="977339457">
      <w:bodyDiv w:val="1"/>
      <w:marLeft w:val="0"/>
      <w:marRight w:val="0"/>
      <w:marTop w:val="0"/>
      <w:marBottom w:val="0"/>
      <w:divBdr>
        <w:top w:val="none" w:sz="0" w:space="0" w:color="auto"/>
        <w:left w:val="none" w:sz="0" w:space="0" w:color="auto"/>
        <w:bottom w:val="none" w:sz="0" w:space="0" w:color="auto"/>
        <w:right w:val="none" w:sz="0" w:space="0" w:color="auto"/>
      </w:divBdr>
    </w:div>
    <w:div w:id="1196386569">
      <w:bodyDiv w:val="1"/>
      <w:marLeft w:val="0"/>
      <w:marRight w:val="0"/>
      <w:marTop w:val="0"/>
      <w:marBottom w:val="0"/>
      <w:divBdr>
        <w:top w:val="none" w:sz="0" w:space="0" w:color="auto"/>
        <w:left w:val="none" w:sz="0" w:space="0" w:color="auto"/>
        <w:bottom w:val="none" w:sz="0" w:space="0" w:color="auto"/>
        <w:right w:val="none" w:sz="0" w:space="0" w:color="auto"/>
      </w:divBdr>
    </w:div>
    <w:div w:id="1522863067">
      <w:bodyDiv w:val="1"/>
      <w:marLeft w:val="0"/>
      <w:marRight w:val="0"/>
      <w:marTop w:val="0"/>
      <w:marBottom w:val="0"/>
      <w:divBdr>
        <w:top w:val="none" w:sz="0" w:space="0" w:color="auto"/>
        <w:left w:val="none" w:sz="0" w:space="0" w:color="auto"/>
        <w:bottom w:val="none" w:sz="0" w:space="0" w:color="auto"/>
        <w:right w:val="none" w:sz="0" w:space="0" w:color="auto"/>
      </w:divBdr>
    </w:div>
    <w:div w:id="1905404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5.emf"/><Relationship Id="rId42" Type="http://schemas.openxmlformats.org/officeDocument/2006/relationships/image" Target="media/image19.emf"/><Relationship Id="rId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6.e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oleObject" Target="embeddings/oleObject3.bin"/><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oleObject" Target="embeddings/oleObject16.bin"/><Relationship Id="rId40" Type="http://schemas.openxmlformats.org/officeDocument/2006/relationships/image" Target="media/image18.e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emf"/><Relationship Id="rId36" Type="http://schemas.openxmlformats.org/officeDocument/2006/relationships/image" Target="media/image16.emf"/><Relationship Id="rId10" Type="http://schemas.openxmlformats.org/officeDocument/2006/relationships/image" Target="media/image3.e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11.bin"/><Relationship Id="rId30" Type="http://schemas.openxmlformats.org/officeDocument/2006/relationships/image" Target="media/image13.emf"/><Relationship Id="rId35" Type="http://schemas.openxmlformats.org/officeDocument/2006/relationships/oleObject" Target="embeddings/oleObject15.bin"/><Relationship Id="rId43" Type="http://schemas.openxmlformats.org/officeDocument/2006/relationships/oleObject" Target="embeddings/oleObject19.bin"/><Relationship Id="rId8" Type="http://schemas.openxmlformats.org/officeDocument/2006/relationships/image" Target="media/image2.emf"/><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emf"/><Relationship Id="rId20" Type="http://schemas.openxmlformats.org/officeDocument/2006/relationships/image" Target="media/image8.emf"/><Relationship Id="rId41" Type="http://schemas.openxmlformats.org/officeDocument/2006/relationships/oleObject" Target="embeddings/oleObject18.bin"/></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F5E91-E44F-4C68-B9BF-BC5C2AEB8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7329</TotalTime>
  <Pages>6</Pages>
  <Words>1343</Words>
  <Characters>7656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109</cp:revision>
  <dcterms:created xsi:type="dcterms:W3CDTF">2017-05-05T07:07:00Z</dcterms:created>
  <dcterms:modified xsi:type="dcterms:W3CDTF">2017-06-19T09:15:00Z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(2)23EdU/dzqNEJs7ht0fMuq4ebjlVOjuV5ctMEwYt2EtJz8HMQ54IUaTS4fM0GN8PApBYR5Hg/
LCdSYx7CRx4uskpirZw5HA/gjwCIjY4ECZB0kx+V97rX5zyhqInCCR9JInlAmOvabV5PMUpz
mrN1hk/71HqxZ1mhbl72ZCjPgCMznhyQT31IfhMAB13jgfoF2SGOuFli5XbqiWqP5cYYrQ5B
unX0sLIxmwAttDB6NO</vt:lpwstr>
  </property>
  <property fmtid="{D5CDD505-2E9C-101B-9397-08002B2CF9AE}" pid="3" name="_2015_ms_pID_7253431">
    <vt:lpwstr>AJEr/4hirV0H7b0fzlgfpxgWQf9GQ+7Kpr1idxkcXEG3GnYd+wOUME
cJ6b3wOQYEVIj1smxqUQ/6k0B/RDKAiOTTxSNeD3jFGfIm6E3RnNV9fhzjdoxHMIZ71Xopeh
7pnk8G+7OmU/jh01Bg2v76B2X8W4FoZW2qArFfNTb1dN6Xt2LTay+ojXn2OezIiUAQrrK6tA
QYVTpW6P/3J3c19w</vt:lpwstr>
  </property>
</Properties>
</file>